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43F7CD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AF279F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97E713EE70A4F99A8E888B52A560CF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33D8D5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lang w:val="pt-BR"/>
            </w:rPr>
            <w:alias w:val="First name"/>
            <w:tag w:val="authorFirstName"/>
            <w:id w:val="581645879"/>
            <w:placeholder>
              <w:docPart w:val="7876CF8FE4CC453994DFB4A9B15F02FE"/>
            </w:placeholder>
            <w:text/>
          </w:sdtPr>
          <w:sdtEndPr/>
          <w:sdtContent>
            <w:tc>
              <w:tcPr>
                <w:tcW w:w="2073" w:type="dxa"/>
              </w:tcPr>
              <w:p w14:paraId="7B63F434" w14:textId="77777777" w:rsidR="00B574C9" w:rsidRDefault="001B6BB9" w:rsidP="00922950">
                <w:r w:rsidRPr="001B6BB9">
                  <w:rPr>
                    <w:lang w:val="pt-BR"/>
                  </w:rPr>
                  <w:t>Antonio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C0F0AEA395D47D2B9C11B63C53C187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49C7889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lang w:val="pt-BR"/>
            </w:rPr>
            <w:alias w:val="Last name"/>
            <w:tag w:val="authorLastName"/>
            <w:id w:val="-1088529830"/>
            <w:placeholder>
              <w:docPart w:val="10BBD13E93704151A24934ED3812AE7F"/>
            </w:placeholder>
            <w:text/>
          </w:sdtPr>
          <w:sdtEndPr/>
          <w:sdtContent>
            <w:tc>
              <w:tcPr>
                <w:tcW w:w="2642" w:type="dxa"/>
              </w:tcPr>
              <w:p w14:paraId="41C8ED2C" w14:textId="77777777" w:rsidR="00B574C9" w:rsidRDefault="001B6BB9" w:rsidP="00922950">
                <w:r w:rsidRPr="001B6BB9">
                  <w:rPr>
                    <w:lang w:val="pt-BR"/>
                  </w:rPr>
                  <w:t>Barrenechea</w:t>
                </w:r>
              </w:p>
            </w:tc>
          </w:sdtContent>
        </w:sdt>
      </w:tr>
      <w:tr w:rsidR="00B574C9" w14:paraId="070A33C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2A40A8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8F5FF7B549C45BD8FB9904FDC4EFCD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A33F9F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249A9F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D7237F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pt-BR"/>
            </w:rPr>
            <w:alias w:val="Affiliation"/>
            <w:tag w:val="affiliation"/>
            <w:id w:val="2012937915"/>
            <w:placeholder>
              <w:docPart w:val="8D165898CF2842BD88DEB71CB9DD6CD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1D98ED8" w14:textId="77777777" w:rsidR="00B574C9" w:rsidRDefault="001B6BB9" w:rsidP="001B6BB9">
                <w:r w:rsidRPr="001B6BB9">
                  <w:rPr>
                    <w:lang w:val="pt-BR"/>
                  </w:rPr>
                  <w:t>University of Mary Washington</w:t>
                </w:r>
              </w:p>
            </w:tc>
          </w:sdtContent>
        </w:sdt>
      </w:tr>
    </w:tbl>
    <w:p w14:paraId="3F0A5D18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A5508C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BA23EEF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E273685" w14:textId="77777777" w:rsidTr="003F0D73">
        <w:sdt>
          <w:sdtPr>
            <w:rPr>
              <w:b/>
              <w:lang w:val="pt-BR"/>
            </w:rPr>
            <w:alias w:val="Article headword"/>
            <w:tag w:val="articleHeadword"/>
            <w:id w:val="-361440020"/>
            <w:placeholder>
              <w:docPart w:val="77D74573AD7F40D69EF655F87BE4957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B3F803B" w14:textId="77777777" w:rsidR="003F0D73" w:rsidRPr="00FB589A" w:rsidRDefault="001B6BB9" w:rsidP="001B6BB9">
                <w:r w:rsidRPr="002C3F65">
                  <w:rPr>
                    <w:b/>
                    <w:lang w:val="pt-BR"/>
                  </w:rPr>
                  <w:t>Black God, White Devil</w:t>
                </w:r>
              </w:p>
            </w:tc>
          </w:sdtContent>
        </w:sdt>
      </w:tr>
      <w:tr w:rsidR="00464699" w14:paraId="4A75DF2E" w14:textId="77777777" w:rsidTr="007821B0">
        <w:sdt>
          <w:sdtPr>
            <w:alias w:val="Variant headwords"/>
            <w:tag w:val="variantHeadwords"/>
            <w:id w:val="173464402"/>
            <w:placeholder>
              <w:docPart w:val="33292CC64FD5424DAC1ED07FAF01D37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163530D" w14:textId="77777777" w:rsidR="00464699" w:rsidRDefault="001B6BB9" w:rsidP="001B6BB9">
                <w:r w:rsidRPr="007636BF">
                  <w:rPr>
                    <w:lang w:val="pt-BR"/>
                  </w:rPr>
                  <w:t>Deus e o Diabo na Terra do Sol</w:t>
                </w:r>
              </w:p>
            </w:tc>
          </w:sdtContent>
        </w:sdt>
      </w:tr>
      <w:tr w:rsidR="00E85A05" w14:paraId="3EE196AD" w14:textId="77777777" w:rsidTr="003F0D73">
        <w:sdt>
          <w:sdtPr>
            <w:alias w:val="Abstract"/>
            <w:tag w:val="abstract"/>
            <w:id w:val="-635871867"/>
            <w:placeholder>
              <w:docPart w:val="825374116659474390B81BC2D4267CD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6FFD02A" w14:textId="77777777" w:rsidR="00E85A05" w:rsidRDefault="001B6BB9" w:rsidP="00E85A05">
                <w:r>
                  <w:rPr>
                    <w:i/>
                  </w:rPr>
                  <w:t>Black God, White Devil</w:t>
                </w:r>
                <w:r>
                  <w:t xml:space="preserve"> is a 1964 film directed by Brazilian auteur </w:t>
                </w:r>
                <w:proofErr w:type="spellStart"/>
                <w:r>
                  <w:t>Glauber</w:t>
                </w:r>
                <w:proofErr w:type="spellEnd"/>
                <w:r>
                  <w:t xml:space="preserve"> Rocha</w:t>
                </w:r>
                <w:r w:rsidR="002C3F65">
                  <w:t xml:space="preserve">. </w:t>
                </w:r>
                <w:r>
                  <w:t xml:space="preserve">Shot on location in the Brazilian </w:t>
                </w:r>
                <w:proofErr w:type="spellStart"/>
                <w:r w:rsidRPr="007636BF">
                  <w:rPr>
                    <w:i/>
                  </w:rPr>
                  <w:t>sertão</w:t>
                </w:r>
                <w:proofErr w:type="spellEnd"/>
                <w:r>
                  <w:t xml:space="preserve">, it launched the </w:t>
                </w:r>
                <w:r>
                  <w:rPr>
                    <w:i/>
                  </w:rPr>
                  <w:t>cinema novo</w:t>
                </w:r>
                <w:r>
                  <w:t xml:space="preserve"> movement and embodied the aspirations of a new political cinema, as outlined in Rocha’s 1965 essay </w:t>
                </w:r>
                <w:r w:rsidR="002C3F65">
                  <w:t>‘</w:t>
                </w:r>
                <w:r>
                  <w:t xml:space="preserve">An </w:t>
                </w:r>
                <w:proofErr w:type="spellStart"/>
                <w:r>
                  <w:t>Esthetic</w:t>
                </w:r>
                <w:proofErr w:type="spellEnd"/>
                <w:r>
                  <w:t xml:space="preserve"> of Hunger.</w:t>
                </w:r>
                <w:r w:rsidR="002C3F65">
                  <w:t xml:space="preserve">’ </w:t>
                </w:r>
                <w:r w:rsidRPr="00926EE0">
                  <w:rPr>
                    <w:i/>
                  </w:rPr>
                  <w:t>Black God</w:t>
                </w:r>
                <w:r>
                  <w:rPr>
                    <w:i/>
                  </w:rPr>
                  <w:t>,</w:t>
                </w:r>
                <w:r w:rsidRPr="00926EE0">
                  <w:rPr>
                    <w:i/>
                  </w:rPr>
                  <w:t xml:space="preserve"> White Devil</w:t>
                </w:r>
                <w:r>
                  <w:t xml:space="preserve"> forms a trilogy with </w:t>
                </w:r>
                <w:r>
                  <w:rPr>
                    <w:i/>
                  </w:rPr>
                  <w:t xml:space="preserve">Terra </w:t>
                </w:r>
                <w:proofErr w:type="spellStart"/>
                <w:r>
                  <w:rPr>
                    <w:i/>
                  </w:rPr>
                  <w:t>em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Transe</w:t>
                </w:r>
                <w:proofErr w:type="spellEnd"/>
                <w:r>
                  <w:t xml:space="preserve"> (1967) and </w:t>
                </w:r>
                <w:r>
                  <w:rPr>
                    <w:i/>
                  </w:rPr>
                  <w:t xml:space="preserve">Antonio das </w:t>
                </w:r>
                <w:proofErr w:type="spellStart"/>
                <w:r>
                  <w:rPr>
                    <w:i/>
                  </w:rPr>
                  <w:t>Mortes</w:t>
                </w:r>
                <w:proofErr w:type="spellEnd"/>
                <w:r>
                  <w:t xml:space="preserve"> (1969)</w:t>
                </w:r>
                <w:r w:rsidR="002C3F65">
                  <w:t xml:space="preserve">. </w:t>
                </w:r>
                <w:r>
                  <w:t>It revolutionized the national film industry by merging the European avant-garde cinema (Soviet montage, Italian Neorealism, French New Wave) and Brazilian folk traditions.</w:t>
                </w:r>
              </w:p>
            </w:tc>
          </w:sdtContent>
        </w:sdt>
      </w:tr>
      <w:tr w:rsidR="003F0D73" w14:paraId="4B03872B" w14:textId="77777777" w:rsidTr="003F0D73">
        <w:sdt>
          <w:sdtPr>
            <w:alias w:val="Article text"/>
            <w:tag w:val="articleText"/>
            <w:id w:val="634067588"/>
            <w:placeholder>
              <w:docPart w:val="E32125F49F314F6D818BE105D6AE104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-983006716"/>
                  <w:placeholder>
                    <w:docPart w:val="7C121410F31AC148AA88C4340336387B"/>
                  </w:placeholder>
                </w:sdtPr>
                <w:sdtContent>
                  <w:p w14:paraId="6F5E4642" w14:textId="77777777" w:rsidR="001B6BB9" w:rsidRDefault="002C3F65" w:rsidP="001B6BB9">
                    <w:r>
                      <w:rPr>
                        <w:i/>
                      </w:rPr>
                      <w:t>Black God, White Devil</w:t>
                    </w:r>
                    <w:r>
                      <w:t xml:space="preserve"> is a 1964 film directed by Brazilian auteur </w:t>
                    </w:r>
                    <w:proofErr w:type="spellStart"/>
                    <w:r>
                      <w:t>Glauber</w:t>
                    </w:r>
                    <w:proofErr w:type="spellEnd"/>
                    <w:r>
                      <w:t xml:space="preserve"> Rocha. Shot on location in the Brazilian </w:t>
                    </w:r>
                    <w:proofErr w:type="spellStart"/>
                    <w:r w:rsidRPr="007636BF">
                      <w:rPr>
                        <w:i/>
                      </w:rPr>
                      <w:t>sertão</w:t>
                    </w:r>
                    <w:proofErr w:type="spellEnd"/>
                    <w:r>
                      <w:t xml:space="preserve">, it launched the </w:t>
                    </w:r>
                    <w:r>
                      <w:rPr>
                        <w:i/>
                      </w:rPr>
                      <w:t>cinema novo</w:t>
                    </w:r>
                    <w:r>
                      <w:t xml:space="preserve"> movement and embodied the aspirations of a new political cinema, as outlined in Rocha’s 1965 essay ‘An </w:t>
                    </w:r>
                    <w:proofErr w:type="spellStart"/>
                    <w:r>
                      <w:t>Esthetic</w:t>
                    </w:r>
                    <w:proofErr w:type="spellEnd"/>
                    <w:r>
                      <w:t xml:space="preserve"> of Hunger.’ </w:t>
                    </w:r>
                    <w:r w:rsidRPr="00926EE0">
                      <w:rPr>
                        <w:i/>
                      </w:rPr>
                      <w:t>Black God</w:t>
                    </w:r>
                    <w:r>
                      <w:rPr>
                        <w:i/>
                      </w:rPr>
                      <w:t>,</w:t>
                    </w:r>
                    <w:r w:rsidRPr="00926EE0">
                      <w:rPr>
                        <w:i/>
                      </w:rPr>
                      <w:t xml:space="preserve"> White Devil</w:t>
                    </w:r>
                    <w:r>
                      <w:t xml:space="preserve"> forms a trilogy with </w:t>
                    </w:r>
                    <w:r>
                      <w:rPr>
                        <w:i/>
                      </w:rPr>
                      <w:t xml:space="preserve">Terra </w:t>
                    </w:r>
                    <w:proofErr w:type="spellStart"/>
                    <w:r>
                      <w:rPr>
                        <w:i/>
                      </w:rPr>
                      <w:t>em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</w:rPr>
                      <w:t>Transe</w:t>
                    </w:r>
                    <w:proofErr w:type="spellEnd"/>
                    <w:r>
                      <w:t xml:space="preserve"> (1967) and </w:t>
                    </w:r>
                    <w:r>
                      <w:rPr>
                        <w:i/>
                      </w:rPr>
                      <w:t xml:space="preserve">Antonio das </w:t>
                    </w:r>
                    <w:proofErr w:type="spellStart"/>
                    <w:r>
                      <w:rPr>
                        <w:i/>
                      </w:rPr>
                      <w:t>Mortes</w:t>
                    </w:r>
                    <w:proofErr w:type="spellEnd"/>
                    <w:r>
                      <w:t xml:space="preserve"> (1969). It revolutionized the national film industry by merging the European avant-garde cinema (Soviet montage, Italian Neorealism, French New Wave) and Brazilian folk traditions.</w:t>
                    </w:r>
                  </w:p>
                </w:sdtContent>
              </w:sdt>
              <w:p w14:paraId="0EBA42E6" w14:textId="77777777" w:rsidR="002C3F65" w:rsidRDefault="002C3F65" w:rsidP="001B6BB9"/>
              <w:p w14:paraId="1AA51AD8" w14:textId="77777777" w:rsidR="003F0D73" w:rsidRPr="001B6BB9" w:rsidRDefault="001B6BB9" w:rsidP="001B6BB9">
                <w:r>
                  <w:t>In the film, a couple fleeing from poverty and law enforcement explore two ways of feeding their physical and spiritual hunger</w:t>
                </w:r>
                <w:r w:rsidR="002C3F65">
                  <w:t xml:space="preserve">. </w:t>
                </w:r>
                <w:r>
                  <w:t>Both of these prove unfulfilling</w:t>
                </w:r>
                <w:r w:rsidR="002C3F65">
                  <w:t xml:space="preserve">. </w:t>
                </w:r>
                <w:r>
                  <w:t xml:space="preserve">The first is by joining the messianic cult of a </w:t>
                </w:r>
                <w:proofErr w:type="spellStart"/>
                <w:r>
                  <w:rPr>
                    <w:i/>
                  </w:rPr>
                  <w:t>beato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or saint (the black God)</w:t>
                </w:r>
                <w:r w:rsidR="002C3F65">
                  <w:t xml:space="preserve">. </w:t>
                </w:r>
                <w:r>
                  <w:t xml:space="preserve">The second is by following </w:t>
                </w:r>
                <w:r w:rsidRPr="007636BF">
                  <w:t xml:space="preserve">a </w:t>
                </w:r>
                <w:proofErr w:type="spellStart"/>
                <w:r w:rsidRPr="007636BF">
                  <w:rPr>
                    <w:i/>
                  </w:rPr>
                  <w:t>cangaceiro</w:t>
                </w:r>
                <w:proofErr w:type="spellEnd"/>
                <w:r w:rsidRPr="007636BF">
                  <w:t xml:space="preserve">, an archetypal bandit from the </w:t>
                </w:r>
                <w:proofErr w:type="spellStart"/>
                <w:r w:rsidRPr="007636BF">
                  <w:t>sertão</w:t>
                </w:r>
                <w:proofErr w:type="spellEnd"/>
                <w:r w:rsidRPr="007636BF">
                  <w:t xml:space="preserve"> (the white Devil)</w:t>
                </w:r>
                <w:r w:rsidR="002C3F65">
                  <w:t xml:space="preserve">. </w:t>
                </w:r>
                <w:r w:rsidRPr="00E14C13">
                  <w:rPr>
                    <w:i/>
                  </w:rPr>
                  <w:t>Black God, White Devil</w:t>
                </w:r>
                <w:r w:rsidRPr="007636BF">
                  <w:t xml:space="preserve"> shifted attention away from the dominant </w:t>
                </w:r>
                <w:proofErr w:type="spellStart"/>
                <w:r w:rsidRPr="007636BF">
                  <w:rPr>
                    <w:i/>
                  </w:rPr>
                  <w:t>chanch</w:t>
                </w:r>
                <w:bookmarkStart w:id="0" w:name="_GoBack"/>
                <w:bookmarkEnd w:id="0"/>
                <w:r w:rsidRPr="007636BF">
                  <w:rPr>
                    <w:i/>
                  </w:rPr>
                  <w:t>ada</w:t>
                </w:r>
                <w:proofErr w:type="spellEnd"/>
                <w:r w:rsidRPr="007636BF">
                  <w:t xml:space="preserve"> </w:t>
                </w:r>
                <w:r>
                  <w:t>musical comedy in favo</w:t>
                </w:r>
                <w:r w:rsidR="002C3F65">
                  <w:t>u</w:t>
                </w:r>
                <w:r>
                  <w:t xml:space="preserve">r of an epic drama set on Brazil’s </w:t>
                </w:r>
                <w:proofErr w:type="spellStart"/>
                <w:r w:rsidR="002C3F65">
                  <w:t>northeastern</w:t>
                </w:r>
                <w:proofErr w:type="spellEnd"/>
                <w:r>
                  <w:t xml:space="preserve"> </w:t>
                </w:r>
                <w:proofErr w:type="spellStart"/>
                <w:r>
                  <w:t>backlands</w:t>
                </w:r>
                <w:proofErr w:type="spellEnd"/>
                <w:r>
                  <w:t xml:space="preserve">. The highly symbolic plot fuses poetically with a soundtrack punctuated by </w:t>
                </w:r>
                <w:proofErr w:type="spellStart"/>
                <w:r>
                  <w:t>Heitor</w:t>
                </w:r>
                <w:proofErr w:type="spellEnd"/>
                <w:r>
                  <w:t xml:space="preserve"> Villa-Lobos’s </w:t>
                </w:r>
                <w:proofErr w:type="spellStart"/>
                <w:r>
                  <w:rPr>
                    <w:i/>
                  </w:rPr>
                  <w:t>Bachianas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Brasileiras</w:t>
                </w:r>
                <w:proofErr w:type="spellEnd"/>
                <w:r w:rsidR="002C3F65">
                  <w:t xml:space="preserve">. </w:t>
                </w:r>
                <w:r>
                  <w:t xml:space="preserve">Stylized performances, handheld camera shots, elliptical editing, and nonsynchronous sound disrupt traditional viewing habits, while also culminating in the dialectical </w:t>
                </w:r>
                <w:r w:rsidR="002C3F65">
                  <w:t>fulfilment</w:t>
                </w:r>
                <w:r>
                  <w:t xml:space="preserve"> of a filmic refrain: </w:t>
                </w:r>
                <w:r w:rsidR="002C3F65">
                  <w:t>‘</w:t>
                </w:r>
                <w:r>
                  <w:t xml:space="preserve">The </w:t>
                </w:r>
                <w:proofErr w:type="spellStart"/>
                <w:r>
                  <w:t>sertão</w:t>
                </w:r>
                <w:proofErr w:type="spellEnd"/>
                <w:r>
                  <w:t xml:space="preserve"> will become sea, and the sea </w:t>
                </w:r>
                <w:proofErr w:type="spellStart"/>
                <w:r>
                  <w:t>sertão</w:t>
                </w:r>
                <w:proofErr w:type="spellEnd"/>
                <w:r>
                  <w:t>.</w:t>
                </w:r>
                <w:r w:rsidR="002C3F65">
                  <w:t>’</w:t>
                </w:r>
              </w:p>
            </w:tc>
          </w:sdtContent>
        </w:sdt>
      </w:tr>
      <w:tr w:rsidR="003235A7" w14:paraId="6E01AA3A" w14:textId="77777777" w:rsidTr="003235A7">
        <w:tc>
          <w:tcPr>
            <w:tcW w:w="9016" w:type="dxa"/>
          </w:tcPr>
          <w:p w14:paraId="61654706" w14:textId="77777777" w:rsidR="003235A7" w:rsidRPr="002C3F65" w:rsidRDefault="003235A7" w:rsidP="008A5B87">
            <w:r w:rsidRPr="002C3F65">
              <w:rPr>
                <w:u w:val="single"/>
              </w:rPr>
              <w:t>Further reading</w:t>
            </w:r>
            <w:r w:rsidRPr="002C3F65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5D2A35F0A264907AD061A6321F8237B"/>
              </w:placeholder>
            </w:sdtPr>
            <w:sdtEndPr/>
            <w:sdtContent>
              <w:p w14:paraId="0562992F" w14:textId="77777777" w:rsidR="001B6BB9" w:rsidRPr="002C3F65" w:rsidRDefault="002C3F65" w:rsidP="001B6BB9">
                <w:sdt>
                  <w:sdtPr>
                    <w:id w:val="1646383847"/>
                    <w:citation/>
                  </w:sdtPr>
                  <w:sdtEndPr/>
                  <w:sdtContent>
                    <w:r w:rsidR="001B6BB9" w:rsidRPr="002C3F65">
                      <w:fldChar w:fldCharType="begin"/>
                    </w:r>
                    <w:r w:rsidR="001B6BB9" w:rsidRPr="002C3F65">
                      <w:rPr>
                        <w:lang w:val="en-US"/>
                      </w:rPr>
                      <w:instrText xml:space="preserve"> CITATION Joh82 \l 1033 </w:instrText>
                    </w:r>
                    <w:r w:rsidR="001B6BB9" w:rsidRPr="002C3F65">
                      <w:fldChar w:fldCharType="separate"/>
                    </w:r>
                    <w:r w:rsidR="001B6BB9" w:rsidRPr="002C3F65">
                      <w:rPr>
                        <w:noProof/>
                        <w:lang w:val="en-US"/>
                      </w:rPr>
                      <w:t xml:space="preserve"> (Johnson and Stam)</w:t>
                    </w:r>
                    <w:r w:rsidR="001B6BB9" w:rsidRPr="002C3F65">
                      <w:fldChar w:fldCharType="end"/>
                    </w:r>
                  </w:sdtContent>
                </w:sdt>
              </w:p>
              <w:p w14:paraId="329B580C" w14:textId="77777777" w:rsidR="001B6BB9" w:rsidRPr="002C3F65" w:rsidRDefault="001B6BB9" w:rsidP="001B6BB9"/>
              <w:p w14:paraId="0C8D9223" w14:textId="77777777" w:rsidR="001B6BB9" w:rsidRPr="002C3F65" w:rsidRDefault="002C3F65" w:rsidP="001B6BB9">
                <w:sdt>
                  <w:sdtPr>
                    <w:id w:val="-1258590143"/>
                    <w:citation/>
                  </w:sdtPr>
                  <w:sdtEndPr/>
                  <w:sdtContent>
                    <w:r w:rsidR="001B6BB9" w:rsidRPr="002C3F65">
                      <w:fldChar w:fldCharType="begin"/>
                    </w:r>
                    <w:r w:rsidR="001B6BB9" w:rsidRPr="002C3F65">
                      <w:rPr>
                        <w:lang w:val="en-US"/>
                      </w:rPr>
                      <w:instrText xml:space="preserve"> CITATION Kin90 \l 1033 </w:instrText>
                    </w:r>
                    <w:r w:rsidR="001B6BB9" w:rsidRPr="002C3F65">
                      <w:fldChar w:fldCharType="separate"/>
                    </w:r>
                    <w:r w:rsidR="001B6BB9" w:rsidRPr="002C3F65">
                      <w:rPr>
                        <w:noProof/>
                        <w:lang w:val="en-US"/>
                      </w:rPr>
                      <w:t>(King)</w:t>
                    </w:r>
                    <w:r w:rsidR="001B6BB9" w:rsidRPr="002C3F65">
                      <w:fldChar w:fldCharType="end"/>
                    </w:r>
                  </w:sdtContent>
                </w:sdt>
              </w:p>
              <w:p w14:paraId="2E2C1106" w14:textId="77777777" w:rsidR="001B6BB9" w:rsidRPr="002C3F65" w:rsidRDefault="001B6BB9" w:rsidP="001B6BB9"/>
              <w:p w14:paraId="6B95D185" w14:textId="77777777" w:rsidR="001B6BB9" w:rsidRPr="002C3F65" w:rsidRDefault="002C3F65" w:rsidP="001B6BB9">
                <w:sdt>
                  <w:sdtPr>
                    <w:id w:val="-939215036"/>
                    <w:citation/>
                  </w:sdtPr>
                  <w:sdtEndPr/>
                  <w:sdtContent>
                    <w:r w:rsidR="001B6BB9" w:rsidRPr="002C3F65">
                      <w:fldChar w:fldCharType="begin"/>
                    </w:r>
                    <w:r w:rsidR="001B6BB9" w:rsidRPr="002C3F65">
                      <w:rPr>
                        <w:lang w:val="en-US"/>
                      </w:rPr>
                      <w:instrText xml:space="preserve"> CITATION Mar97 \l 1033 </w:instrText>
                    </w:r>
                    <w:r w:rsidR="001B6BB9" w:rsidRPr="002C3F65">
                      <w:fldChar w:fldCharType="separate"/>
                    </w:r>
                    <w:r w:rsidR="001B6BB9" w:rsidRPr="002C3F65">
                      <w:rPr>
                        <w:noProof/>
                        <w:lang w:val="en-US"/>
                      </w:rPr>
                      <w:t>(Martin)</w:t>
                    </w:r>
                    <w:r w:rsidR="001B6BB9" w:rsidRPr="002C3F65">
                      <w:fldChar w:fldCharType="end"/>
                    </w:r>
                  </w:sdtContent>
                </w:sdt>
              </w:p>
              <w:p w14:paraId="6D93B9F3" w14:textId="77777777" w:rsidR="001B6BB9" w:rsidRPr="002C3F65" w:rsidRDefault="001B6BB9" w:rsidP="001B6BB9"/>
              <w:p w14:paraId="57518900" w14:textId="77777777" w:rsidR="003235A7" w:rsidRDefault="002C3F65" w:rsidP="00FB11DE">
                <w:sdt>
                  <w:sdtPr>
                    <w:id w:val="1174382823"/>
                    <w:citation/>
                  </w:sdtPr>
                  <w:sdtEndPr/>
                  <w:sdtContent>
                    <w:r w:rsidR="001B6BB9" w:rsidRPr="002C3F65">
                      <w:fldChar w:fldCharType="begin"/>
                    </w:r>
                    <w:r w:rsidR="001B6BB9" w:rsidRPr="002C3F65">
                      <w:rPr>
                        <w:lang w:val="en-US"/>
                      </w:rPr>
                      <w:instrText xml:space="preserve"> CITATION Nag07 \l 1033 </w:instrText>
                    </w:r>
                    <w:r w:rsidR="001B6BB9" w:rsidRPr="002C3F65">
                      <w:fldChar w:fldCharType="separate"/>
                    </w:r>
                    <w:r w:rsidR="001B6BB9" w:rsidRPr="002C3F65">
                      <w:rPr>
                        <w:noProof/>
                        <w:lang w:val="en-US"/>
                      </w:rPr>
                      <w:t>(Nagib)</w:t>
                    </w:r>
                    <w:r w:rsidR="001B6BB9" w:rsidRPr="002C3F65">
                      <w:fldChar w:fldCharType="end"/>
                    </w:r>
                  </w:sdtContent>
                </w:sdt>
              </w:p>
            </w:sdtContent>
          </w:sdt>
        </w:tc>
      </w:tr>
    </w:tbl>
    <w:p w14:paraId="50EC5C1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510175" w14:textId="77777777" w:rsidR="00C127CC" w:rsidRDefault="00C127CC" w:rsidP="007A0D55">
      <w:pPr>
        <w:spacing w:after="0" w:line="240" w:lineRule="auto"/>
      </w:pPr>
      <w:r>
        <w:separator/>
      </w:r>
    </w:p>
  </w:endnote>
  <w:endnote w:type="continuationSeparator" w:id="0">
    <w:p w14:paraId="2A28E317" w14:textId="77777777" w:rsidR="00C127CC" w:rsidRDefault="00C127C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96DE37" w14:textId="77777777" w:rsidR="00C127CC" w:rsidRDefault="00C127CC" w:rsidP="007A0D55">
      <w:pPr>
        <w:spacing w:after="0" w:line="240" w:lineRule="auto"/>
      </w:pPr>
      <w:r>
        <w:separator/>
      </w:r>
    </w:p>
  </w:footnote>
  <w:footnote w:type="continuationSeparator" w:id="0">
    <w:p w14:paraId="50FC3118" w14:textId="77777777" w:rsidR="00C127CC" w:rsidRDefault="00C127C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3E7AC2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7F805F7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9A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B6BB9"/>
    <w:rsid w:val="00210C03"/>
    <w:rsid w:val="002162E2"/>
    <w:rsid w:val="00225C5A"/>
    <w:rsid w:val="00230B10"/>
    <w:rsid w:val="00234353"/>
    <w:rsid w:val="00244BB0"/>
    <w:rsid w:val="002A0A0D"/>
    <w:rsid w:val="002B0B37"/>
    <w:rsid w:val="002C3F65"/>
    <w:rsid w:val="0030662D"/>
    <w:rsid w:val="003235A7"/>
    <w:rsid w:val="003649AB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127CC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0896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64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9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64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9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97E713EE70A4F99A8E888B52A560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4D026-BFD1-4A3F-AECC-79516F68F26A}"/>
      </w:docPartPr>
      <w:docPartBody>
        <w:p w:rsidR="00EA0F7F" w:rsidRDefault="00F906F2">
          <w:pPr>
            <w:pStyle w:val="E97E713EE70A4F99A8E888B52A560CF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876CF8FE4CC453994DFB4A9B15F0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715EF-7341-4C3F-B28B-2F18550DA9EE}"/>
      </w:docPartPr>
      <w:docPartBody>
        <w:p w:rsidR="00EA0F7F" w:rsidRDefault="00F906F2">
          <w:pPr>
            <w:pStyle w:val="7876CF8FE4CC453994DFB4A9B15F02F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C0F0AEA395D47D2B9C11B63C53C18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335D4-AC51-4C52-869E-E8FFEE257AD0}"/>
      </w:docPartPr>
      <w:docPartBody>
        <w:p w:rsidR="00EA0F7F" w:rsidRDefault="00F906F2">
          <w:pPr>
            <w:pStyle w:val="1C0F0AEA395D47D2B9C11B63C53C187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0BBD13E93704151A24934ED3812A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66E0E-656F-47D8-9E02-D17A57E23BA3}"/>
      </w:docPartPr>
      <w:docPartBody>
        <w:p w:rsidR="00EA0F7F" w:rsidRDefault="00F906F2">
          <w:pPr>
            <w:pStyle w:val="10BBD13E93704151A24934ED3812AE7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8F5FF7B549C45BD8FB9904FDC4EF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09B92-0956-4548-815A-FB218CD01FE2}"/>
      </w:docPartPr>
      <w:docPartBody>
        <w:p w:rsidR="00EA0F7F" w:rsidRDefault="00F906F2">
          <w:pPr>
            <w:pStyle w:val="88F5FF7B549C45BD8FB9904FDC4EFCD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D165898CF2842BD88DEB71CB9DD6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54C2F-D9BE-421C-BF3E-4C8332380900}"/>
      </w:docPartPr>
      <w:docPartBody>
        <w:p w:rsidR="00EA0F7F" w:rsidRDefault="00F906F2">
          <w:pPr>
            <w:pStyle w:val="8D165898CF2842BD88DEB71CB9DD6CD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7D74573AD7F40D69EF655F87BE49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DA98B-6533-4B53-A3D9-F819050B36DD}"/>
      </w:docPartPr>
      <w:docPartBody>
        <w:p w:rsidR="00EA0F7F" w:rsidRDefault="00F906F2">
          <w:pPr>
            <w:pStyle w:val="77D74573AD7F40D69EF655F87BE4957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33292CC64FD5424DAC1ED07FAF01D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8C60A-0EC3-4B02-BE2E-1380FAFF5718}"/>
      </w:docPartPr>
      <w:docPartBody>
        <w:p w:rsidR="00EA0F7F" w:rsidRDefault="00F906F2">
          <w:pPr>
            <w:pStyle w:val="33292CC64FD5424DAC1ED07FAF01D37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25374116659474390B81BC2D4267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5303D-F7F1-4D93-82D3-4D29C4C24BBA}"/>
      </w:docPartPr>
      <w:docPartBody>
        <w:p w:rsidR="00EA0F7F" w:rsidRDefault="00F906F2">
          <w:pPr>
            <w:pStyle w:val="825374116659474390B81BC2D4267CD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32125F49F314F6D818BE105D6AE1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654DD-A6A2-4B11-86F6-CD44FB71900E}"/>
      </w:docPartPr>
      <w:docPartBody>
        <w:p w:rsidR="00EA0F7F" w:rsidRDefault="00F906F2">
          <w:pPr>
            <w:pStyle w:val="E32125F49F314F6D818BE105D6AE104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5D2A35F0A264907AD061A6321F8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CE9964-55AA-4B17-A9D3-31608BD6F20E}"/>
      </w:docPartPr>
      <w:docPartBody>
        <w:p w:rsidR="00EA0F7F" w:rsidRDefault="00F906F2">
          <w:pPr>
            <w:pStyle w:val="15D2A35F0A264907AD061A6321F8237B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7C121410F31AC148AA88C43403363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F91AB-68A2-5E43-A06F-19D2DA5BF22E}"/>
      </w:docPartPr>
      <w:docPartBody>
        <w:p w:rsidR="00000000" w:rsidRDefault="00EA0F7F" w:rsidP="00EA0F7F">
          <w:pPr>
            <w:pStyle w:val="7C121410F31AC148AA88C4340336387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6F2"/>
    <w:rsid w:val="00EA0F7F"/>
    <w:rsid w:val="00F9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0F7F"/>
    <w:rPr>
      <w:color w:val="808080"/>
    </w:rPr>
  </w:style>
  <w:style w:type="paragraph" w:customStyle="1" w:styleId="E97E713EE70A4F99A8E888B52A560CFE">
    <w:name w:val="E97E713EE70A4F99A8E888B52A560CFE"/>
  </w:style>
  <w:style w:type="paragraph" w:customStyle="1" w:styleId="7876CF8FE4CC453994DFB4A9B15F02FE">
    <w:name w:val="7876CF8FE4CC453994DFB4A9B15F02FE"/>
  </w:style>
  <w:style w:type="paragraph" w:customStyle="1" w:styleId="1C0F0AEA395D47D2B9C11B63C53C1873">
    <w:name w:val="1C0F0AEA395D47D2B9C11B63C53C1873"/>
  </w:style>
  <w:style w:type="paragraph" w:customStyle="1" w:styleId="10BBD13E93704151A24934ED3812AE7F">
    <w:name w:val="10BBD13E93704151A24934ED3812AE7F"/>
  </w:style>
  <w:style w:type="paragraph" w:customStyle="1" w:styleId="88F5FF7B549C45BD8FB9904FDC4EFCD5">
    <w:name w:val="88F5FF7B549C45BD8FB9904FDC4EFCD5"/>
  </w:style>
  <w:style w:type="paragraph" w:customStyle="1" w:styleId="8D165898CF2842BD88DEB71CB9DD6CDF">
    <w:name w:val="8D165898CF2842BD88DEB71CB9DD6CDF"/>
  </w:style>
  <w:style w:type="paragraph" w:customStyle="1" w:styleId="77D74573AD7F40D69EF655F87BE4957A">
    <w:name w:val="77D74573AD7F40D69EF655F87BE4957A"/>
  </w:style>
  <w:style w:type="paragraph" w:customStyle="1" w:styleId="33292CC64FD5424DAC1ED07FAF01D375">
    <w:name w:val="33292CC64FD5424DAC1ED07FAF01D375"/>
  </w:style>
  <w:style w:type="paragraph" w:customStyle="1" w:styleId="825374116659474390B81BC2D4267CDE">
    <w:name w:val="825374116659474390B81BC2D4267CDE"/>
  </w:style>
  <w:style w:type="paragraph" w:customStyle="1" w:styleId="E32125F49F314F6D818BE105D6AE104D">
    <w:name w:val="E32125F49F314F6D818BE105D6AE104D"/>
  </w:style>
  <w:style w:type="paragraph" w:customStyle="1" w:styleId="15D2A35F0A264907AD061A6321F8237B">
    <w:name w:val="15D2A35F0A264907AD061A6321F8237B"/>
  </w:style>
  <w:style w:type="paragraph" w:customStyle="1" w:styleId="7C121410F31AC148AA88C4340336387B">
    <w:name w:val="7C121410F31AC148AA88C4340336387B"/>
    <w:rsid w:val="00EA0F7F"/>
    <w:pPr>
      <w:spacing w:after="0" w:line="240" w:lineRule="auto"/>
    </w:pPr>
    <w:rPr>
      <w:sz w:val="24"/>
      <w:szCs w:val="24"/>
      <w:lang w:eastAsia="ja-JP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0F7F"/>
    <w:rPr>
      <w:color w:val="808080"/>
    </w:rPr>
  </w:style>
  <w:style w:type="paragraph" w:customStyle="1" w:styleId="E97E713EE70A4F99A8E888B52A560CFE">
    <w:name w:val="E97E713EE70A4F99A8E888B52A560CFE"/>
  </w:style>
  <w:style w:type="paragraph" w:customStyle="1" w:styleId="7876CF8FE4CC453994DFB4A9B15F02FE">
    <w:name w:val="7876CF8FE4CC453994DFB4A9B15F02FE"/>
  </w:style>
  <w:style w:type="paragraph" w:customStyle="1" w:styleId="1C0F0AEA395D47D2B9C11B63C53C1873">
    <w:name w:val="1C0F0AEA395D47D2B9C11B63C53C1873"/>
  </w:style>
  <w:style w:type="paragraph" w:customStyle="1" w:styleId="10BBD13E93704151A24934ED3812AE7F">
    <w:name w:val="10BBD13E93704151A24934ED3812AE7F"/>
  </w:style>
  <w:style w:type="paragraph" w:customStyle="1" w:styleId="88F5FF7B549C45BD8FB9904FDC4EFCD5">
    <w:name w:val="88F5FF7B549C45BD8FB9904FDC4EFCD5"/>
  </w:style>
  <w:style w:type="paragraph" w:customStyle="1" w:styleId="8D165898CF2842BD88DEB71CB9DD6CDF">
    <w:name w:val="8D165898CF2842BD88DEB71CB9DD6CDF"/>
  </w:style>
  <w:style w:type="paragraph" w:customStyle="1" w:styleId="77D74573AD7F40D69EF655F87BE4957A">
    <w:name w:val="77D74573AD7F40D69EF655F87BE4957A"/>
  </w:style>
  <w:style w:type="paragraph" w:customStyle="1" w:styleId="33292CC64FD5424DAC1ED07FAF01D375">
    <w:name w:val="33292CC64FD5424DAC1ED07FAF01D375"/>
  </w:style>
  <w:style w:type="paragraph" w:customStyle="1" w:styleId="825374116659474390B81BC2D4267CDE">
    <w:name w:val="825374116659474390B81BC2D4267CDE"/>
  </w:style>
  <w:style w:type="paragraph" w:customStyle="1" w:styleId="E32125F49F314F6D818BE105D6AE104D">
    <w:name w:val="E32125F49F314F6D818BE105D6AE104D"/>
  </w:style>
  <w:style w:type="paragraph" w:customStyle="1" w:styleId="15D2A35F0A264907AD061A6321F8237B">
    <w:name w:val="15D2A35F0A264907AD061A6321F8237B"/>
  </w:style>
  <w:style w:type="paragraph" w:customStyle="1" w:styleId="7C121410F31AC148AA88C4340336387B">
    <w:name w:val="7C121410F31AC148AA88C4340336387B"/>
    <w:rsid w:val="00EA0F7F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Joh82</b:Tag>
    <b:SourceType>Book</b:SourceType>
    <b:Guid>{88B63E77-64FC-4C74-BA76-7F1E1BE321C7}</b:Guid>
    <b:Title>Brazilian Cinema</b:Title>
    <b:Year>1982</b:Year>
    <b:City>New York</b:City>
    <b:Publisher>Columbia UP</b:Publisher>
    <b:Comments>This is widely considered to be one of the best volumes on Brazilian film.  It includes Rocha’s “An Esthetic of Hunger” and a brilliant interpretive chapter on Black God, White Devil.</b:Comments>
    <b:Author>
      <b:Editor>
        <b:NameList>
          <b:Person>
            <b:Last>Johnson</b:Last>
            <b:First>R</b:First>
          </b:Person>
          <b:Person>
            <b:Last>Stam</b:Last>
            <b:First>R</b:First>
          </b:Person>
        </b:NameList>
      </b:Editor>
    </b:Author>
    <b:RefOrder>1</b:RefOrder>
  </b:Source>
  <b:Source>
    <b:Tag>Kin90</b:Tag>
    <b:SourceType>Book</b:SourceType>
    <b:Guid>{E5888B95-6F28-4DC5-93C4-B4BC151905BD}</b:Guid>
    <b:Author>
      <b:Author>
        <b:NameList>
          <b:Person>
            <b:Last>King</b:Last>
            <b:First>J.</b:First>
          </b:Person>
        </b:NameList>
      </b:Author>
    </b:Author>
    <b:Title>Magical Reels: A History of Cinema in Latin America</b:Title>
    <b:Year>1990</b:Year>
    <b:City>London and New York</b:City>
    <b:Publisher>Verso</b:Publisher>
    <b:Comments>King provides an excellent overall discussion of Latin American cinema, including Brazilian cinema novo and the chanchada genre staples that preceded it.</b:Comments>
    <b:RefOrder>2</b:RefOrder>
  </b:Source>
  <b:Source>
    <b:Tag>Mar97</b:Tag>
    <b:SourceType>Book</b:SourceType>
    <b:Guid>{98F43A5C-2A36-450B-BBCF-42F60430FE06}</b:Guid>
    <b:Title>New Latin American Cinema </b:Title>
    <b:Year>1997</b:Year>
    <b:City>Detroit</b:City>
    <b:Publisher>Wayne State UP</b:Publisher>
    <b:Author>
      <b:Editor>
        <b:NameList>
          <b:Person>
            <b:Last>Martin</b:Last>
            <b:First>M</b:First>
          </b:Person>
        </b:NameList>
      </b:Editor>
    </b:Author>
    <b:Volume>1</b:Volume>
    <b:Comments>This volume is a good introduction to the ideology of “Third Cinema” and in connection with Brazil.  It includes a reprint of “An Esthetic of Hunger” from the Johnson/Stam volume.</b:Comments>
    <b:RefOrder>3</b:RefOrder>
  </b:Source>
  <b:Source>
    <b:Tag>Nag07</b:Tag>
    <b:SourceType>Book</b:SourceType>
    <b:Guid>{8DF8CA73-7D1D-4D11-BDA1-50C7C6EDB211}</b:Guid>
    <b:Author>
      <b:Author>
        <b:NameList>
          <b:Person>
            <b:Last>Nagib</b:Last>
            <b:First>L</b:First>
          </b:Person>
        </b:NameList>
      </b:Author>
    </b:Author>
    <b:Title>Brazil on Screen: Cinema Novo, New Cinema, Utopia</b:Title>
    <b:Year>2007</b:Year>
    <b:City>London and New York</b:City>
    <b:Publisher>I.B. Taurus</b:Publisher>
    <b:Comments>This book uses the image of the sea-sertão as established in Black God, White Devil to explain the recurring motif of water in Brazilian cinema history.</b:Comments>
    <b:RefOrder>4</b:RefOrder>
  </b:Source>
</b:Sources>
</file>

<file path=customXml/itemProps1.xml><?xml version="1.0" encoding="utf-8"?>
<ds:datastoreItem xmlns:ds="http://schemas.openxmlformats.org/officeDocument/2006/customXml" ds:itemID="{AE6F92E2-9DAE-B348-8F5B-356EFC47A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15</TotalTime>
  <Pages>1</Pages>
  <Words>351</Words>
  <Characters>2002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3</cp:revision>
  <dcterms:created xsi:type="dcterms:W3CDTF">2014-05-31T22:33:00Z</dcterms:created>
  <dcterms:modified xsi:type="dcterms:W3CDTF">2014-08-02T15:14:00Z</dcterms:modified>
</cp:coreProperties>
</file>