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87E1509AC54A5F868A09018C4F436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B25BB05EBD48C684F1A013EFD01D4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27DAC" w:rsidP="00E27DAC">
                <w:r>
                  <w:t>Adrienne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B52FB2E7F31408F92BF8E21D008F0C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54918D3F74B4A949912213EB3FC151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27DAC" w:rsidP="00E27DAC">
                <w:proofErr w:type="spellStart"/>
                <w:r>
                  <w:t>Kochman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E5F19380F1347CA964B8DF7350DD4D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1325EA8D0643DD89CDFEB26853E32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" w:eastAsia="MS Mincho" w:hAnsi="Times New Roman" w:cs="Times New Roman"/>
              <w:b/>
              <w:sz w:val="24"/>
              <w:szCs w:val="20"/>
              <w:lang w:val="en-US" w:eastAsia="ja-JP" w:bidi="en-US"/>
            </w:rPr>
            <w:alias w:val="Article headword"/>
            <w:tag w:val="articleHeadword"/>
            <w:id w:val="-361440020"/>
            <w:placeholder>
              <w:docPart w:val="881DE6BB70BF4BC5B2CA5097C02070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060C1" w:rsidP="003F0D73">
                <w:pPr>
                  <w:rPr>
                    <w:b/>
                  </w:rPr>
                </w:pPr>
                <w:proofErr w:type="spellStart"/>
                <w:r w:rsidRPr="00D060C1">
                  <w:rPr>
                    <w:rFonts w:ascii="Times New Roman" w:eastAsia="MS Mincho" w:hAnsi="Times New Roman" w:cs="Times New Roman"/>
                    <w:b/>
                    <w:sz w:val="24"/>
                    <w:szCs w:val="20"/>
                    <w:lang w:val="en-US" w:eastAsia="ja-JP" w:bidi="en-US"/>
                  </w:rPr>
                  <w:t>Burliuk</w:t>
                </w:r>
                <w:proofErr w:type="spellEnd"/>
                <w:r w:rsidRPr="00D060C1">
                  <w:rPr>
                    <w:rFonts w:ascii="Times New Roman" w:eastAsia="MS Mincho" w:hAnsi="Times New Roman" w:cs="Times New Roman"/>
                    <w:b/>
                    <w:sz w:val="24"/>
                    <w:szCs w:val="20"/>
                    <w:lang w:val="en-US" w:eastAsia="ja-JP" w:bidi="en-US"/>
                  </w:rPr>
                  <w:t xml:space="preserve">, David (1882 </w:t>
                </w:r>
                <w:proofErr w:type="spellStart"/>
                <w:r w:rsidRPr="00D060C1">
                  <w:rPr>
                    <w:rFonts w:ascii="Times New Roman" w:eastAsia="MS Mincho" w:hAnsi="Times New Roman" w:cs="Times New Roman"/>
                    <w:b/>
                    <w:sz w:val="24"/>
                    <w:szCs w:val="20"/>
                    <w:lang w:val="en-US" w:eastAsia="ja-JP" w:bidi="en-US"/>
                  </w:rPr>
                  <w:t>Semirotovshchina</w:t>
                </w:r>
                <w:proofErr w:type="spellEnd"/>
                <w:r w:rsidRPr="00D060C1">
                  <w:rPr>
                    <w:rFonts w:ascii="Times New Roman" w:eastAsia="MS Mincho" w:hAnsi="Times New Roman" w:cs="Times New Roman"/>
                    <w:b/>
                    <w:sz w:val="24"/>
                    <w:szCs w:val="20"/>
                    <w:lang w:val="en-US" w:eastAsia="ja-JP" w:bidi="en-US"/>
                  </w:rPr>
                  <w:t xml:space="preserve">, near </w:t>
                </w:r>
                <w:proofErr w:type="spellStart"/>
                <w:r w:rsidRPr="00D060C1">
                  <w:rPr>
                    <w:rFonts w:ascii="Times New Roman" w:eastAsia="MS Mincho" w:hAnsi="Times New Roman" w:cs="Times New Roman"/>
                    <w:b/>
                    <w:sz w:val="24"/>
                    <w:szCs w:val="20"/>
                    <w:lang w:val="en-US" w:eastAsia="ja-JP" w:bidi="en-US"/>
                  </w:rPr>
                  <w:t>Kharkiv</w:t>
                </w:r>
                <w:proofErr w:type="spellEnd"/>
                <w:r w:rsidRPr="00D060C1">
                  <w:rPr>
                    <w:rFonts w:ascii="Times New Roman" w:eastAsia="MS Mincho" w:hAnsi="Times New Roman" w:cs="Times New Roman"/>
                    <w:b/>
                    <w:sz w:val="24"/>
                    <w:szCs w:val="20"/>
                    <w:lang w:val="en-US" w:eastAsia="ja-JP" w:bidi="en-US"/>
                  </w:rPr>
                  <w:t>, Ukraine–1967 Southampton, New York)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4762DE41B1F4C33A4FBC7116EFAD6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42676B77B8845A690A33C14ABA384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David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was a painter, writer, poet, performance artist, journal editor, and publisher, whose activism and leadership situated him as a primary avant-garde figure, particularly in his native Ukraine and Russia. His open and often impetuous stance against the stifling official </w:t>
                </w:r>
                <w:proofErr w:type="spellStart"/>
                <w:r w:rsidRPr="00EE4505">
                  <w:rPr>
                    <w:rFonts w:ascii="Times New Roman" w:hAnsi="Times New Roman"/>
                    <w:i/>
                  </w:rPr>
                  <w:t>peredvizhnik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(</w:t>
                </w:r>
                <w:r w:rsidRPr="000D6880">
                  <w:rPr>
                    <w:rFonts w:ascii="Times New Roman" w:hAnsi="Times New Roman"/>
                  </w:rPr>
                  <w:t>Russian Realist</w:t>
                </w:r>
                <w:r>
                  <w:rPr>
                    <w:rFonts w:ascii="Times New Roman" w:hAnsi="Times New Roman"/>
                  </w:rPr>
                  <w:t>)</w:t>
                </w:r>
                <w:r w:rsidRPr="000D6880">
                  <w:rPr>
                    <w:rFonts w:ascii="Times New Roman" w:hAnsi="Times New Roman"/>
                  </w:rPr>
                  <w:t xml:space="preserve"> ideology and progressive political and artistic views earned him the title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>father of Futurism.</w:t>
                </w:r>
                <w:r>
                  <w:rPr>
                    <w:rFonts w:ascii="Times New Roman" w:hAnsi="Times New Roman"/>
                  </w:rPr>
                  <w:t>”</w:t>
                </w:r>
                <w:r w:rsidRPr="000D6880">
                  <w:rPr>
                    <w:rFonts w:ascii="Times New Roman" w:hAnsi="Times New Roman"/>
                  </w:rPr>
                  <w:t xml:space="preserve"> His larger outlook towards life’s improvement was informed by a desire to reform the tsarist autocracy, bureaucratic inefficiency, persecution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and censorship in the Russian Empire.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C375E004B8B44E9B8981476EDB15E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David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was a painter, writer, poet, performance artist, journal editor, and publisher, whose activism and leadership situated him as a primary avant-garde figure, particularly in his native Ukraine and Russia. His open and often impetuous stance against the stifling official </w:t>
                </w:r>
                <w:proofErr w:type="spellStart"/>
                <w:r w:rsidRPr="00EE4505">
                  <w:rPr>
                    <w:rFonts w:ascii="Times New Roman" w:hAnsi="Times New Roman"/>
                    <w:i/>
                  </w:rPr>
                  <w:t>peredvizhnik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(</w:t>
                </w:r>
                <w:r w:rsidRPr="000D6880">
                  <w:rPr>
                    <w:rFonts w:ascii="Times New Roman" w:hAnsi="Times New Roman"/>
                  </w:rPr>
                  <w:t>Russian Realist</w:t>
                </w:r>
                <w:r>
                  <w:rPr>
                    <w:rFonts w:ascii="Times New Roman" w:hAnsi="Times New Roman"/>
                  </w:rPr>
                  <w:t>)</w:t>
                </w:r>
                <w:r w:rsidRPr="000D6880">
                  <w:rPr>
                    <w:rFonts w:ascii="Times New Roman" w:hAnsi="Times New Roman"/>
                  </w:rPr>
                  <w:t xml:space="preserve"> ideology and progressive political and artistic views earned him the title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>father of Futurism.</w:t>
                </w:r>
                <w:r>
                  <w:rPr>
                    <w:rFonts w:ascii="Times New Roman" w:hAnsi="Times New Roman"/>
                  </w:rPr>
                  <w:t>”</w:t>
                </w:r>
                <w:r w:rsidRPr="000D6880">
                  <w:rPr>
                    <w:rFonts w:ascii="Times New Roman" w:hAnsi="Times New Roman"/>
                  </w:rPr>
                  <w:t xml:space="preserve"> His larger outlook towards life’s improvement was informed by a desire to reform the tsarist autocracy, bureaucratic inefficiency, persecution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and censorship in the Russian Empire.</w:t>
                </w: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studied art in Kazan and Odessa between 1898 and 1901. He then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traveled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to Munich where he studied with Wilhelm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Diez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at the Munich Art Academy in 1902 followed by Anton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Azbe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at his private school in 1903. In 1904, he studied at Fernand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Cormon’s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a</w:t>
                </w:r>
                <w:r w:rsidRPr="000D6880">
                  <w:rPr>
                    <w:rFonts w:ascii="Times New Roman" w:hAnsi="Times New Roman"/>
                  </w:rPr>
                  <w:t>cademy in Paris. He returned to Ukraine interested in the work of the impressionists and post-impressionists. He participated in the 17th and 18</w:t>
                </w:r>
                <w:r>
                  <w:rPr>
                    <w:rFonts w:ascii="Times New Roman" w:hAnsi="Times New Roman"/>
                  </w:rPr>
                  <w:t>th</w:t>
                </w:r>
                <w:r w:rsidRPr="000D6880">
                  <w:rPr>
                    <w:rFonts w:ascii="Times New Roman" w:hAnsi="Times New Roman"/>
                  </w:rPr>
                  <w:t xml:space="preserve"> exhibitions of the Association of South Russian </w:t>
                </w:r>
                <w:r>
                  <w:rPr>
                    <w:rFonts w:ascii="Times New Roman" w:hAnsi="Times New Roman"/>
                  </w:rPr>
                  <w:t>(</w:t>
                </w:r>
                <w:r w:rsidRPr="000D6880">
                  <w:rPr>
                    <w:rFonts w:ascii="Times New Roman" w:hAnsi="Times New Roman"/>
                  </w:rPr>
                  <w:t>a term for Ukrainian during the Russian Empire</w:t>
                </w:r>
                <w:r>
                  <w:rPr>
                    <w:rFonts w:ascii="Times New Roman" w:hAnsi="Times New Roman"/>
                  </w:rPr>
                  <w:t>)</w:t>
                </w:r>
                <w:r w:rsidRPr="000D6880">
                  <w:rPr>
                    <w:rFonts w:ascii="Times New Roman" w:hAnsi="Times New Roman"/>
                  </w:rPr>
                  <w:t xml:space="preserve"> Artists in Odessa in 1906 and 1907. In 1907,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Burliuk’s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family moved to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Chernianka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in Southern Ukraine near Kherson, at the mouth of the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Dnipro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River. It became a meeting place for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Burliuk’s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artist and literary friends and a site of inspiration for his work. He later gave the group the title </w:t>
                </w:r>
                <w:r>
                  <w:rPr>
                    <w:rFonts w:ascii="Times New Roman" w:hAnsi="Times New Roman"/>
                  </w:rPr>
                  <w:t>“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Hylaea</w:t>
                </w:r>
                <w:proofErr w:type="spellEnd"/>
                <w:r>
                  <w:rPr>
                    <w:rFonts w:ascii="Times New Roman" w:hAnsi="Times New Roman"/>
                  </w:rPr>
                  <w:t>”</w:t>
                </w:r>
                <w:r w:rsidRPr="000D6880">
                  <w:rPr>
                    <w:rFonts w:ascii="Times New Roman" w:hAnsi="Times New Roman"/>
                  </w:rPr>
                  <w:t xml:space="preserve"> (1912)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from the name the ancient Greeks gave for that area when it was inhabited by the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Scyths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. The group included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Velimir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Khlebnikov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Alexei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Kruchenykh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Vladimir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Mayakovsky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and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Benedikt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Livshits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>.</w:t>
                </w: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himself moved to Moscow in 1907, where a robust art community, international art exhibitions –particularly from Western Europe– provided a rich environment in which to work. There, he organized and participated in a number of exhibitions, several of them with his brother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Volodymyr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>, also an artist. These included the exhibition Wreath-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Stefanos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in Moscow, 1907;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>Link</w:t>
                </w:r>
                <w:r>
                  <w:rPr>
                    <w:rFonts w:ascii="Times New Roman" w:hAnsi="Times New Roman"/>
                  </w:rPr>
                  <w:t>”</w:t>
                </w:r>
                <w:r w:rsidRPr="000D6880">
                  <w:rPr>
                    <w:rFonts w:ascii="Times New Roman" w:hAnsi="Times New Roman"/>
                  </w:rPr>
                  <w:t xml:space="preserve"> in Kyiv, 1908 featuring his Symbolist </w:t>
                </w:r>
                <w:r w:rsidRPr="000D6880">
                  <w:rPr>
                    <w:rFonts w:ascii="Times New Roman" w:hAnsi="Times New Roman"/>
                    <w:i/>
                  </w:rPr>
                  <w:t>Blue Rose</w:t>
                </w:r>
                <w:r w:rsidRPr="000D6880">
                  <w:rPr>
                    <w:rFonts w:ascii="Times New Roman" w:hAnsi="Times New Roman"/>
                  </w:rPr>
                  <w:t xml:space="preserve"> group with Alexandra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Exter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Natalya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Goncharova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Mikhail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Larionov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;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>Knave of Diamonds</w:t>
                </w:r>
                <w:r>
                  <w:rPr>
                    <w:rFonts w:ascii="Times New Roman" w:hAnsi="Times New Roman"/>
                  </w:rPr>
                  <w:t>”</w:t>
                </w:r>
                <w:r w:rsidRPr="000D6880">
                  <w:rPr>
                    <w:rFonts w:ascii="Times New Roman" w:hAnsi="Times New Roman"/>
                  </w:rPr>
                  <w:t xml:space="preserve"> Moscow, 1910;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>Exhibition of Painting 1915</w:t>
                </w:r>
                <w:r>
                  <w:rPr>
                    <w:rFonts w:ascii="Times New Roman" w:hAnsi="Times New Roman"/>
                  </w:rPr>
                  <w:t>.”</w:t>
                </w:r>
                <w:r w:rsidRPr="000D6880">
                  <w:rPr>
                    <w:rFonts w:ascii="Times New Roman" w:hAnsi="Times New Roman"/>
                  </w:rPr>
                  <w:t xml:space="preserve"> He participated in Vladimir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Isdebsky’s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second salon in Odessa in 1911, contributed the essay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 xml:space="preserve">The ‘Savages’ of Russia” to </w:t>
                </w:r>
                <w:r w:rsidRPr="000D6880">
                  <w:rPr>
                    <w:rFonts w:ascii="Times New Roman" w:hAnsi="Times New Roman"/>
                    <w:i/>
                  </w:rPr>
                  <w:t xml:space="preserve">Der </w:t>
                </w:r>
                <w:proofErr w:type="spellStart"/>
                <w:r w:rsidRPr="000D6880">
                  <w:rPr>
                    <w:rFonts w:ascii="Times New Roman" w:hAnsi="Times New Roman"/>
                    <w:i/>
                  </w:rPr>
                  <w:t>Blaue</w:t>
                </w:r>
                <w:proofErr w:type="spellEnd"/>
                <w:r w:rsidRPr="000D6880">
                  <w:rPr>
                    <w:rFonts w:ascii="Times New Roman" w:hAnsi="Times New Roman"/>
                    <w:i/>
                  </w:rPr>
                  <w:t xml:space="preserve"> Reiter </w:t>
                </w:r>
                <w:proofErr w:type="spellStart"/>
                <w:r w:rsidRPr="000D6880">
                  <w:rPr>
                    <w:rFonts w:ascii="Times New Roman" w:hAnsi="Times New Roman"/>
                    <w:i/>
                  </w:rPr>
                  <w:t>Almanach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(1912) and exhibited with </w:t>
                </w:r>
                <w:r w:rsidRPr="000D6880">
                  <w:rPr>
                    <w:rFonts w:ascii="Times New Roman" w:hAnsi="Times New Roman"/>
                    <w:i/>
                  </w:rPr>
                  <w:t xml:space="preserve">Der </w:t>
                </w:r>
                <w:proofErr w:type="spellStart"/>
                <w:r w:rsidRPr="000D6880">
                  <w:rPr>
                    <w:rFonts w:ascii="Times New Roman" w:hAnsi="Times New Roman"/>
                    <w:i/>
                  </w:rPr>
                  <w:t>Blaue</w:t>
                </w:r>
                <w:proofErr w:type="spellEnd"/>
                <w:r w:rsidRPr="000D6880">
                  <w:rPr>
                    <w:rFonts w:ascii="Times New Roman" w:hAnsi="Times New Roman"/>
                    <w:i/>
                  </w:rPr>
                  <w:t xml:space="preserve"> Reiter</w:t>
                </w:r>
                <w:r w:rsidRPr="000D6880">
                  <w:rPr>
                    <w:rFonts w:ascii="Times New Roman" w:hAnsi="Times New Roman"/>
                  </w:rPr>
                  <w:t xml:space="preserve"> in 1911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 w:rsidRPr="000D6880">
                  <w:rPr>
                    <w:rFonts w:ascii="Times New Roman" w:hAnsi="Times New Roman"/>
                  </w:rPr>
                  <w:t>12 in Munich, with neo-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primitivist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works. From 1910 to 1913, he studied at </w:t>
                </w:r>
                <w:r w:rsidRPr="000D6880">
                  <w:rPr>
                    <w:rFonts w:ascii="Times New Roman" w:hAnsi="Times New Roman"/>
                  </w:rPr>
                  <w:lastRenderedPageBreak/>
                  <w:t xml:space="preserve">the Moscow College of Painting, Sculpture and Architecture where he met the poet Vladimir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Mayakovsky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. Their publication of </w:t>
                </w:r>
                <w:r w:rsidRPr="000D6880">
                  <w:rPr>
                    <w:rFonts w:ascii="Times New Roman" w:hAnsi="Times New Roman"/>
                    <w:i/>
                  </w:rPr>
                  <w:t>A Slap in the Face of Public Taste</w:t>
                </w:r>
                <w:r w:rsidRPr="000D6880">
                  <w:rPr>
                    <w:rFonts w:ascii="Times New Roman" w:hAnsi="Times New Roman"/>
                  </w:rPr>
                  <w:t xml:space="preserve"> (1912), a manifesto for futurism in the Russian Empire and traditional art’s end, resulted in their expulsion.</w:t>
                </w: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contributed to</w:t>
                </w:r>
                <w:r>
                  <w:rPr>
                    <w:rFonts w:ascii="Times New Roman" w:hAnsi="Times New Roman"/>
                  </w:rPr>
                  <w:t xml:space="preserve"> the</w:t>
                </w:r>
                <w:r w:rsidRPr="000D6880">
                  <w:rPr>
                    <w:rFonts w:ascii="Times New Roman" w:hAnsi="Times New Roman"/>
                  </w:rPr>
                  <w:t xml:space="preserve"> futurist booklets </w:t>
                </w:r>
                <w:r w:rsidRPr="000D6880">
                  <w:rPr>
                    <w:rFonts w:ascii="Times New Roman" w:hAnsi="Times New Roman"/>
                    <w:i/>
                  </w:rPr>
                  <w:t>Roaring Parnassus</w:t>
                </w:r>
                <w:r w:rsidRPr="000D6880">
                  <w:rPr>
                    <w:rFonts w:ascii="Times New Roman" w:hAnsi="Times New Roman"/>
                  </w:rPr>
                  <w:t xml:space="preserve"> (1913), </w:t>
                </w:r>
                <w:r w:rsidRPr="000D6880">
                  <w:rPr>
                    <w:rFonts w:ascii="Times New Roman" w:hAnsi="Times New Roman"/>
                    <w:i/>
                  </w:rPr>
                  <w:t>Anthology of the Only Futurists in the World</w:t>
                </w:r>
                <w:r w:rsidRPr="000D6880">
                  <w:rPr>
                    <w:rFonts w:ascii="Times New Roman" w:hAnsi="Times New Roman"/>
                  </w:rPr>
                  <w:t xml:space="preserve"> (1914),</w:t>
                </w:r>
                <w:r>
                  <w:rPr>
                    <w:rFonts w:ascii="Times New Roman" w:hAnsi="Times New Roman"/>
                  </w:rPr>
                  <w:t xml:space="preserve"> and</w:t>
                </w:r>
                <w:r w:rsidRPr="000D6880">
                  <w:rPr>
                    <w:rFonts w:ascii="Times New Roman" w:hAnsi="Times New Roman"/>
                  </w:rPr>
                  <w:t xml:space="preserve"> </w:t>
                </w:r>
                <w:r w:rsidRPr="000D6880">
                  <w:rPr>
                    <w:rFonts w:ascii="Times New Roman" w:hAnsi="Times New Roman"/>
                    <w:i/>
                  </w:rPr>
                  <w:t>Balding Tale</w:t>
                </w:r>
                <w:r w:rsidRPr="000D6880">
                  <w:rPr>
                    <w:rFonts w:ascii="Times New Roman" w:hAnsi="Times New Roman"/>
                  </w:rPr>
                  <w:t xml:space="preserve"> (1918)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as well as others. Under the editorship of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Vasilii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Kamensky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he and the Russian futurists published the literary journal </w:t>
                </w:r>
                <w:proofErr w:type="spellStart"/>
                <w:r w:rsidRPr="000D6880">
                  <w:rPr>
                    <w:rFonts w:ascii="Times New Roman" w:hAnsi="Times New Roman"/>
                    <w:i/>
                  </w:rPr>
                  <w:t>Futuristy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(1914)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surviving censorship for only two issues. At the height of their reputations,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and the futurists embarked on a performance tour of 17 cities in the Russian Empire, beginning in December 1913 until April 1914. He, his brother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Volodymyr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Mayakovsky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, and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Kamensky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lectured and conducted poetry readings on their new movement to widely receptive audiences. A number of these were rather scandalous events, including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stagings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of them drinking tea beneath a hanging piano, attired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outlandishly</w:t>
                </w:r>
                <w:proofErr w:type="gramStart"/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>faces</w:t>
                </w:r>
                <w:proofErr w:type="spellEnd"/>
                <w:proofErr w:type="gramEnd"/>
                <w:r w:rsidRPr="000D6880">
                  <w:rPr>
                    <w:rFonts w:ascii="Times New Roman" w:hAnsi="Times New Roman"/>
                  </w:rPr>
                  <w:t xml:space="preserve"> painted with various signs, such as hieroglyphics or animals, and carrots, radishes or spoons inserted into their lapel buttonholes. In 1913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they also produced a film parodying Symbolism’s pretentiousness, entitled </w:t>
                </w:r>
                <w:r w:rsidRPr="000D6880">
                  <w:rPr>
                    <w:rFonts w:ascii="Times New Roman" w:hAnsi="Times New Roman"/>
                    <w:i/>
                  </w:rPr>
                  <w:t>Drama in Cabaret No. 13</w:t>
                </w:r>
                <w:r w:rsidRPr="000D6880">
                  <w:rPr>
                    <w:rFonts w:ascii="Times New Roman" w:hAnsi="Times New Roman"/>
                  </w:rPr>
                  <w:t>. From 1915 to 1917</w:t>
                </w:r>
                <w:r>
                  <w:rPr>
                    <w:rFonts w:ascii="Times New Roman" w:hAnsi="Times New Roman"/>
                  </w:rPr>
                  <w:t>,</w:t>
                </w:r>
                <w:r w:rsidRPr="000D6880">
                  <w:rPr>
                    <w:rFonts w:ascii="Times New Roman" w:hAnsi="Times New Roman"/>
                  </w:rPr>
                  <w:t xml:space="preserve"> he lived in the Urals with his wife’s family, visiting Moscow and Petrograd regularly. He published the </w:t>
                </w:r>
                <w:r w:rsidRPr="000D6880">
                  <w:rPr>
                    <w:rFonts w:ascii="Times New Roman" w:hAnsi="Times New Roman"/>
                    <w:i/>
                  </w:rPr>
                  <w:t>Newspaper of the Futurists</w:t>
                </w:r>
                <w:r w:rsidRPr="000D6880">
                  <w:rPr>
                    <w:rFonts w:ascii="Times New Roman" w:hAnsi="Times New Roman"/>
                  </w:rPr>
                  <w:t xml:space="preserve"> in 1918 with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Kamensky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and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Mayakovsky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>.</w:t>
                </w: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  <w:r w:rsidRPr="000D6880">
                  <w:rPr>
                    <w:rFonts w:ascii="Times New Roman" w:hAnsi="Times New Roman"/>
                  </w:rPr>
                  <w:t xml:space="preserve">In 1920,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immigrated to Japan with his wife where he continued his futurist activities. They remained until 1922, when they immigrated to the United States and settled in New York. There,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Burliuk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pursued a </w:t>
                </w:r>
                <w:r>
                  <w:rPr>
                    <w:rFonts w:ascii="Times New Roman" w:hAnsi="Times New Roman"/>
                  </w:rPr>
                  <w:t>“</w:t>
                </w:r>
                <w:r w:rsidRPr="000D6880">
                  <w:rPr>
                    <w:rFonts w:ascii="Times New Roman" w:hAnsi="Times New Roman"/>
                  </w:rPr>
                  <w:t>radio-style</w:t>
                </w:r>
                <w:r>
                  <w:rPr>
                    <w:rFonts w:ascii="Times New Roman" w:hAnsi="Times New Roman"/>
                  </w:rPr>
                  <w:t>,”</w:t>
                </w:r>
                <w:r w:rsidRPr="000D6880">
                  <w:rPr>
                    <w:rFonts w:ascii="Times New Roman" w:hAnsi="Times New Roman"/>
                  </w:rPr>
                  <w:t xml:space="preserve"> based on the concept of hidden forces revealing personal memories through radio wave physics. He and his wife </w:t>
                </w:r>
                <w:proofErr w:type="spellStart"/>
                <w:r w:rsidRPr="000D6880">
                  <w:rPr>
                    <w:rFonts w:ascii="Times New Roman" w:hAnsi="Times New Roman"/>
                  </w:rPr>
                  <w:t>Marussia</w:t>
                </w:r>
                <w:proofErr w:type="spellEnd"/>
                <w:r w:rsidRPr="000D6880">
                  <w:rPr>
                    <w:rFonts w:ascii="Times New Roman" w:hAnsi="Times New Roman"/>
                  </w:rPr>
                  <w:t xml:space="preserve"> published the journal </w:t>
                </w:r>
                <w:proofErr w:type="spellStart"/>
                <w:r w:rsidRPr="000D6880">
                  <w:rPr>
                    <w:rFonts w:ascii="Times New Roman" w:hAnsi="Times New Roman"/>
                    <w:i/>
                  </w:rPr>
                  <w:t>Color</w:t>
                </w:r>
                <w:proofErr w:type="spellEnd"/>
                <w:r w:rsidRPr="000D6880">
                  <w:rPr>
                    <w:rFonts w:ascii="Times New Roman" w:hAnsi="Times New Roman"/>
                    <w:i/>
                  </w:rPr>
                  <w:t xml:space="preserve"> and Rhyme</w:t>
                </w:r>
                <w:r w:rsidRPr="000D6880">
                  <w:rPr>
                    <w:rFonts w:ascii="Times New Roman" w:hAnsi="Times New Roman"/>
                  </w:rPr>
                  <w:t xml:space="preserve"> (1930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 w:rsidRPr="000D6880">
                  <w:rPr>
                    <w:rFonts w:ascii="Times New Roman" w:hAnsi="Times New Roman"/>
                  </w:rPr>
                  <w:t>1966).</w:t>
                </w:r>
              </w:p>
              <w:p w:rsidR="00D060C1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306354" w:rsidRDefault="00D060C1" w:rsidP="00306354">
                <w:pPr>
                  <w:pStyle w:val="Heading1"/>
                  <w:outlineLvl w:val="0"/>
                </w:pPr>
                <w:r w:rsidRPr="00306354">
                  <w:t>References and further reading:</w:t>
                </w:r>
              </w:p>
              <w:p w:rsidR="00D060C1" w:rsidRDefault="00D060C1" w:rsidP="00D060C1">
                <w:sdt>
                  <w:sdtPr>
                    <w:id w:val="-13291248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Bar80 \l 4105 </w:instrText>
                    </w:r>
                    <w:r>
                      <w:fldChar w:fldCharType="separate"/>
                    </w:r>
                    <w:r w:rsidRPr="00D060C1">
                      <w:rPr>
                        <w:noProof/>
                        <w:lang w:val="en-CA"/>
                      </w:rPr>
                      <w:t>(Barron and Tuchman)</w:t>
                    </w:r>
                    <w:r>
                      <w:fldChar w:fldCharType="end"/>
                    </w:r>
                  </w:sdtContent>
                </w:sdt>
              </w:p>
              <w:p w:rsidR="00D060C1" w:rsidRDefault="00D060C1" w:rsidP="00D060C1">
                <w:sdt>
                  <w:sdtPr>
                    <w:id w:val="1314534262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CITATION Ukr06 \l 4105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(Ukrainian Modernism 1910-1930)</w:t>
                    </w:r>
                    <w:r>
                      <w:fldChar w:fldCharType="end"/>
                    </w:r>
                  </w:sdtContent>
                </w:sdt>
              </w:p>
              <w:p w:rsidR="00D060C1" w:rsidRDefault="00D060C1" w:rsidP="00D060C1">
                <w:sdt>
                  <w:sdtPr>
                    <w:id w:val="-4736732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Noh93 \l 4105 </w:instrText>
                    </w:r>
                    <w:r>
                      <w:fldChar w:fldCharType="separate"/>
                    </w:r>
                    <w:r w:rsidRPr="00D060C1">
                      <w:rPr>
                        <w:noProof/>
                        <w:lang w:val="en-CA"/>
                      </w:rPr>
                      <w:t>(Noha)</w:t>
                    </w:r>
                    <w:r>
                      <w:fldChar w:fldCharType="end"/>
                    </w:r>
                  </w:sdtContent>
                </w:sdt>
              </w:p>
              <w:p w:rsidR="00D060C1" w:rsidRPr="00D060C1" w:rsidRDefault="00D060C1" w:rsidP="00D060C1">
                <w:sdt>
                  <w:sdtPr>
                    <w:id w:val="3256385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Fut08 \l 4105 </w:instrText>
                    </w:r>
                    <w:r>
                      <w:fldChar w:fldCharType="separate"/>
                    </w:r>
                    <w:r w:rsidRPr="00D060C1">
                      <w:rPr>
                        <w:noProof/>
                        <w:lang w:val="en-CA"/>
                      </w:rPr>
                      <w:t>(Futurism and After David Burliuk 1882-1967)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</w:rPr>
                </w:pPr>
              </w:p>
              <w:p w:rsidR="00D060C1" w:rsidRPr="000D6880" w:rsidRDefault="00D060C1" w:rsidP="00D060C1">
                <w:pPr>
                  <w:rPr>
                    <w:rFonts w:ascii="Times New Roman" w:hAnsi="Times New Roman"/>
                    <w:i/>
                  </w:rPr>
                </w:pPr>
              </w:p>
              <w:p w:rsidR="00D060C1" w:rsidRPr="00EE4505" w:rsidRDefault="00D060C1" w:rsidP="00D060C1">
                <w:pPr>
                  <w:rPr>
                    <w:rFonts w:ascii="Times New Roman" w:hAnsi="Times New Roman"/>
                    <w:i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37C573BC2848209F5D1808159EAF4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EAA" w:rsidRDefault="003E7EAA" w:rsidP="007A0D55">
      <w:pPr>
        <w:spacing w:after="0" w:line="240" w:lineRule="auto"/>
      </w:pPr>
      <w:r>
        <w:separator/>
      </w:r>
    </w:p>
  </w:endnote>
  <w:endnote w:type="continuationSeparator" w:id="0">
    <w:p w:rsidR="003E7EAA" w:rsidRDefault="003E7E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EAA" w:rsidRDefault="003E7EAA" w:rsidP="007A0D55">
      <w:pPr>
        <w:spacing w:after="0" w:line="240" w:lineRule="auto"/>
      </w:pPr>
      <w:r>
        <w:separator/>
      </w:r>
    </w:p>
  </w:footnote>
  <w:footnote w:type="continuationSeparator" w:id="0">
    <w:p w:rsidR="003E7EAA" w:rsidRDefault="003E7E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354"/>
    <w:rsid w:val="0030662D"/>
    <w:rsid w:val="003235A7"/>
    <w:rsid w:val="003677B6"/>
    <w:rsid w:val="003D3579"/>
    <w:rsid w:val="003E2795"/>
    <w:rsid w:val="003E7EAA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74CB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0C1"/>
    <w:rsid w:val="00D656DA"/>
    <w:rsid w:val="00D83300"/>
    <w:rsid w:val="00DC6B48"/>
    <w:rsid w:val="00DF01B0"/>
    <w:rsid w:val="00E27DA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iPriority="0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character" w:customStyle="1" w:styleId="st">
    <w:name w:val="st"/>
    <w:rsid w:val="00D06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iPriority="0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character" w:customStyle="1" w:styleId="st">
    <w:name w:val="st"/>
    <w:rsid w:val="00D0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87E1509AC54A5F868A09018C4F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D5D07-C98C-4975-BE60-0515F75C4F2E}"/>
      </w:docPartPr>
      <w:docPartBody>
        <w:p w:rsidR="00000000" w:rsidRDefault="0057200D">
          <w:pPr>
            <w:pStyle w:val="AF87E1509AC54A5F868A09018C4F436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B25BB05EBD48C684F1A013EFD01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F5EA-A03D-4C08-ABE9-B913C342A54B}"/>
      </w:docPartPr>
      <w:docPartBody>
        <w:p w:rsidR="00000000" w:rsidRDefault="0057200D">
          <w:pPr>
            <w:pStyle w:val="A8B25BB05EBD48C684F1A013EFD01D4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B52FB2E7F31408F92BF8E21D008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1913-4303-42EA-B235-AD12834D3782}"/>
      </w:docPartPr>
      <w:docPartBody>
        <w:p w:rsidR="00000000" w:rsidRDefault="0057200D">
          <w:pPr>
            <w:pStyle w:val="CB52FB2E7F31408F92BF8E21D008F0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54918D3F74B4A949912213EB3FC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F8C98-1B8D-490A-AA0A-D43D4CF33971}"/>
      </w:docPartPr>
      <w:docPartBody>
        <w:p w:rsidR="00000000" w:rsidRDefault="0057200D">
          <w:pPr>
            <w:pStyle w:val="D54918D3F74B4A949912213EB3FC151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AE5F19380F1347CA964B8DF7350DD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E24B-DD4D-4DA9-A5CA-58B12E66AB2F}"/>
      </w:docPartPr>
      <w:docPartBody>
        <w:p w:rsidR="00000000" w:rsidRDefault="0057200D">
          <w:pPr>
            <w:pStyle w:val="AE5F19380F1347CA964B8DF7350DD4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1325EA8D0643DD89CDFEB26853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E4046-3DE5-4350-9D7B-E35487B1B1EA}"/>
      </w:docPartPr>
      <w:docPartBody>
        <w:p w:rsidR="00000000" w:rsidRDefault="0057200D">
          <w:pPr>
            <w:pStyle w:val="F41325EA8D0643DD89CDFEB26853E32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1DE6BB70BF4BC5B2CA5097C020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8D5A6-D2F3-4968-BCE2-118BC6015C74}"/>
      </w:docPartPr>
      <w:docPartBody>
        <w:p w:rsidR="00000000" w:rsidRDefault="0057200D">
          <w:pPr>
            <w:pStyle w:val="881DE6BB70BF4BC5B2CA5097C02070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762DE41B1F4C33A4FBC7116EFA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FECAB-53BD-4A75-B20E-B06DDF1BB126}"/>
      </w:docPartPr>
      <w:docPartBody>
        <w:p w:rsidR="00000000" w:rsidRDefault="0057200D">
          <w:pPr>
            <w:pStyle w:val="14762DE41B1F4C33A4FBC7116EFAD6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2676B77B8845A690A33C14ABA38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4F301-D69C-48E4-97A8-542DDFD9DDD4}"/>
      </w:docPartPr>
      <w:docPartBody>
        <w:p w:rsidR="00000000" w:rsidRDefault="0057200D">
          <w:pPr>
            <w:pStyle w:val="842676B77B8845A690A33C14ABA384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75E004B8B44E9B8981476EDB15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06DB5-B8D4-42CD-B40B-B2AEB9E2DF90}"/>
      </w:docPartPr>
      <w:docPartBody>
        <w:p w:rsidR="00000000" w:rsidRDefault="0057200D">
          <w:pPr>
            <w:pStyle w:val="DC375E004B8B44E9B8981476EDB15E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0D"/>
    <w:rsid w:val="005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87E1509AC54A5F868A09018C4F4368">
    <w:name w:val="AF87E1509AC54A5F868A09018C4F4368"/>
  </w:style>
  <w:style w:type="paragraph" w:customStyle="1" w:styleId="A8B25BB05EBD48C684F1A013EFD01D42">
    <w:name w:val="A8B25BB05EBD48C684F1A013EFD01D42"/>
  </w:style>
  <w:style w:type="paragraph" w:customStyle="1" w:styleId="CB52FB2E7F31408F92BF8E21D008F0CD">
    <w:name w:val="CB52FB2E7F31408F92BF8E21D008F0CD"/>
  </w:style>
  <w:style w:type="paragraph" w:customStyle="1" w:styleId="D54918D3F74B4A949912213EB3FC1511">
    <w:name w:val="D54918D3F74B4A949912213EB3FC1511"/>
  </w:style>
  <w:style w:type="paragraph" w:customStyle="1" w:styleId="AE5F19380F1347CA964B8DF7350DD4D0">
    <w:name w:val="AE5F19380F1347CA964B8DF7350DD4D0"/>
  </w:style>
  <w:style w:type="paragraph" w:customStyle="1" w:styleId="F41325EA8D0643DD89CDFEB26853E32B">
    <w:name w:val="F41325EA8D0643DD89CDFEB26853E32B"/>
  </w:style>
  <w:style w:type="paragraph" w:customStyle="1" w:styleId="881DE6BB70BF4BC5B2CA5097C0207072">
    <w:name w:val="881DE6BB70BF4BC5B2CA5097C0207072"/>
  </w:style>
  <w:style w:type="paragraph" w:customStyle="1" w:styleId="14762DE41B1F4C33A4FBC7116EFAD6C0">
    <w:name w:val="14762DE41B1F4C33A4FBC7116EFAD6C0"/>
  </w:style>
  <w:style w:type="paragraph" w:customStyle="1" w:styleId="842676B77B8845A690A33C14ABA3845A">
    <w:name w:val="842676B77B8845A690A33C14ABA3845A"/>
  </w:style>
  <w:style w:type="paragraph" w:customStyle="1" w:styleId="DC375E004B8B44E9B8981476EDB15E39">
    <w:name w:val="DC375E004B8B44E9B8981476EDB15E39"/>
  </w:style>
  <w:style w:type="paragraph" w:customStyle="1" w:styleId="7B37C573BC2848209F5D1808159EAF40">
    <w:name w:val="7B37C573BC2848209F5D1808159EAF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87E1509AC54A5F868A09018C4F4368">
    <w:name w:val="AF87E1509AC54A5F868A09018C4F4368"/>
  </w:style>
  <w:style w:type="paragraph" w:customStyle="1" w:styleId="A8B25BB05EBD48C684F1A013EFD01D42">
    <w:name w:val="A8B25BB05EBD48C684F1A013EFD01D42"/>
  </w:style>
  <w:style w:type="paragraph" w:customStyle="1" w:styleId="CB52FB2E7F31408F92BF8E21D008F0CD">
    <w:name w:val="CB52FB2E7F31408F92BF8E21D008F0CD"/>
  </w:style>
  <w:style w:type="paragraph" w:customStyle="1" w:styleId="D54918D3F74B4A949912213EB3FC1511">
    <w:name w:val="D54918D3F74B4A949912213EB3FC1511"/>
  </w:style>
  <w:style w:type="paragraph" w:customStyle="1" w:styleId="AE5F19380F1347CA964B8DF7350DD4D0">
    <w:name w:val="AE5F19380F1347CA964B8DF7350DD4D0"/>
  </w:style>
  <w:style w:type="paragraph" w:customStyle="1" w:styleId="F41325EA8D0643DD89CDFEB26853E32B">
    <w:name w:val="F41325EA8D0643DD89CDFEB26853E32B"/>
  </w:style>
  <w:style w:type="paragraph" w:customStyle="1" w:styleId="881DE6BB70BF4BC5B2CA5097C0207072">
    <w:name w:val="881DE6BB70BF4BC5B2CA5097C0207072"/>
  </w:style>
  <w:style w:type="paragraph" w:customStyle="1" w:styleId="14762DE41B1F4C33A4FBC7116EFAD6C0">
    <w:name w:val="14762DE41B1F4C33A4FBC7116EFAD6C0"/>
  </w:style>
  <w:style w:type="paragraph" w:customStyle="1" w:styleId="842676B77B8845A690A33C14ABA3845A">
    <w:name w:val="842676B77B8845A690A33C14ABA3845A"/>
  </w:style>
  <w:style w:type="paragraph" w:customStyle="1" w:styleId="DC375E004B8B44E9B8981476EDB15E39">
    <w:name w:val="DC375E004B8B44E9B8981476EDB15E39"/>
  </w:style>
  <w:style w:type="paragraph" w:customStyle="1" w:styleId="7B37C573BC2848209F5D1808159EAF40">
    <w:name w:val="7B37C573BC2848209F5D1808159EA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Bar80</b:Tag>
    <b:SourceType>Book</b:SourceType>
    <b:Guid>{42E08E71-A378-4928-9DDA-A990D48C0FB6}</b:Guid>
    <b:Title>The Avant-Garde in Russia 1910-1930, New Perspectives</b:Title>
    <b:Year>1980</b:Year>
    <b:City>Los Angeles</b:City>
    <b:Publisher>Los Angeles County Museum of Art</b:Publisher>
    <b:Author>
      <b:Editor>
        <b:NameList>
          <b:Person>
            <b:Last>Barron</b:Last>
            <b:First>Stephanie</b:First>
          </b:Person>
          <b:Person>
            <b:Last>Tuchman</b:Last>
            <b:First>Maurice</b:First>
          </b:Person>
        </b:NameList>
      </b:Editor>
    </b:Author>
    <b:RefOrder>1</b:RefOrder>
  </b:Source>
  <b:Source>
    <b:Tag>Ukr06</b:Tag>
    <b:SourceType>Art</b:SourceType>
    <b:Guid>{7CC3F6CD-666A-470C-9F9E-FB6B0888B7AB}</b:Guid>
    <b:Title>Ukrainian Modernism 1910-1930</b:Title>
    <b:Year>2006</b:Year>
    <b:City>Khmelnytsky</b:City>
    <b:Medium>Exhibition</b:Medium>
    <b:Institution>National Art Museum of Ukraine</b:Institution>
    <b:RefOrder>2</b:RefOrder>
  </b:Source>
  <b:Source>
    <b:Tag>Noh93</b:Tag>
    <b:SourceType>Book</b:SourceType>
    <b:Guid>{A9AB618A-CCCC-4B58-92C0-F7390AA0A7A2}</b:Guid>
    <b:Title>Davyd Burliuk i mystetstvo vsesvitnohoavanhardu</b:Title>
    <b:City>Lvyv</b:City>
    <b:Year>1993</b:Year>
    <b:Author>
      <b:Author>
        <b:NameList>
          <b:Person>
            <b:Last>Noha</b:Last>
            <b:First>Oles</b:First>
          </b:Person>
        </b:NameList>
      </b:Author>
    </b:Author>
    <b:RefOrder>3</b:RefOrder>
  </b:Source>
  <b:Source>
    <b:Tag>Fut08</b:Tag>
    <b:SourceType>Art</b:SourceType>
    <b:Guid>{E0EB95AD-D116-4C05-8BB0-630A92ACD675}</b:Guid>
    <b:Title>Futurism and After David Burliuk 1882-1967</b:Title>
    <b:Year>2008</b:Year>
    <b:City>New York</b:City>
    <b:Medium>Exhibition</b:Medium>
    <b:Institution>Ukrainian National Museum</b:Institution>
    <b:RefOrder>4</b:RefOrder>
  </b:Source>
</b:Sources>
</file>

<file path=customXml/itemProps1.xml><?xml version="1.0" encoding="utf-8"?>
<ds:datastoreItem xmlns:ds="http://schemas.openxmlformats.org/officeDocument/2006/customXml" ds:itemID="{9E0CDA06-CF1B-42F6-A904-63C15F11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11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4</cp:revision>
  <dcterms:created xsi:type="dcterms:W3CDTF">2014-04-07T20:50:00Z</dcterms:created>
  <dcterms:modified xsi:type="dcterms:W3CDTF">2014-04-07T21:01:00Z</dcterms:modified>
</cp:coreProperties>
</file>