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C076EC" w:rsidRPr="007C3021" w14:paraId="49096C6D" w14:textId="77777777" w:rsidTr="007C3021">
        <w:tc>
          <w:tcPr>
            <w:tcW w:w="491" w:type="dxa"/>
            <w:vMerge w:val="restart"/>
            <w:shd w:val="clear" w:color="auto" w:fill="A6A6A6"/>
            <w:textDirection w:val="btLr"/>
          </w:tcPr>
          <w:p w14:paraId="6FB2CCAE" w14:textId="77777777" w:rsidR="00B574C9" w:rsidRPr="007C3021" w:rsidRDefault="00B574C9" w:rsidP="007C3021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7C3021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39631F01" w14:textId="77777777" w:rsidR="00B574C9" w:rsidRPr="007C3021" w:rsidRDefault="00B574C9" w:rsidP="007C3021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7C3021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2AA94381" w14:textId="77777777" w:rsidR="00B574C9" w:rsidRPr="007C3021" w:rsidRDefault="00C076EC" w:rsidP="00C076EC">
            <w:pPr>
              <w:spacing w:after="0" w:line="240" w:lineRule="auto"/>
            </w:pPr>
            <w:proofErr w:type="spellStart"/>
            <w:r>
              <w:rPr>
                <w:rStyle w:val="PlaceholderText"/>
              </w:rPr>
              <w:t>Samia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A8F730C" w14:textId="77777777" w:rsidR="00B574C9" w:rsidRPr="007C3021" w:rsidRDefault="00B574C9" w:rsidP="007C3021">
            <w:pPr>
              <w:spacing w:after="0" w:line="240" w:lineRule="auto"/>
            </w:pPr>
            <w:r w:rsidRPr="007C3021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2C3D5C44" w14:textId="77777777" w:rsidR="00B574C9" w:rsidRPr="007C3021" w:rsidRDefault="00C076EC" w:rsidP="007C3021">
            <w:pPr>
              <w:spacing w:after="0" w:line="240" w:lineRule="auto"/>
            </w:pPr>
            <w:proofErr w:type="spellStart"/>
            <w:r>
              <w:rPr>
                <w:rStyle w:val="PlaceholderText"/>
              </w:rPr>
              <w:t>Touati</w:t>
            </w:r>
            <w:proofErr w:type="spellEnd"/>
          </w:p>
        </w:tc>
      </w:tr>
      <w:tr w:rsidR="00C076EC" w:rsidRPr="007C3021" w14:paraId="234BD8F2" w14:textId="77777777" w:rsidTr="007C3021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099175A1" w14:textId="77777777" w:rsidR="00B574C9" w:rsidRPr="007C3021" w:rsidRDefault="00B574C9" w:rsidP="007C3021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2C5A67C6" w14:textId="77777777" w:rsidR="00B574C9" w:rsidRPr="007C3021" w:rsidRDefault="00B574C9" w:rsidP="007C3021">
            <w:pPr>
              <w:spacing w:after="0" w:line="240" w:lineRule="auto"/>
            </w:pPr>
            <w:r w:rsidRPr="007C3021">
              <w:rPr>
                <w:rStyle w:val="PlaceholderText"/>
              </w:rPr>
              <w:t>[Enter your biography]</w:t>
            </w:r>
          </w:p>
        </w:tc>
      </w:tr>
      <w:tr w:rsidR="00C076EC" w:rsidRPr="007C3021" w14:paraId="705636F7" w14:textId="77777777" w:rsidTr="007C3021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2FCE705D" w14:textId="77777777" w:rsidR="00B574C9" w:rsidRPr="007C3021" w:rsidRDefault="00B574C9" w:rsidP="007C3021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1DB97F52" w14:textId="77777777" w:rsidR="00B574C9" w:rsidRPr="007C3021" w:rsidRDefault="00B574C9" w:rsidP="007C3021">
            <w:pPr>
              <w:spacing w:after="0" w:line="240" w:lineRule="auto"/>
            </w:pPr>
            <w:r w:rsidRPr="007C3021">
              <w:rPr>
                <w:rStyle w:val="PlaceholderText"/>
              </w:rPr>
              <w:t>[Enter the institution with which you are affiliated]</w:t>
            </w:r>
          </w:p>
        </w:tc>
      </w:tr>
    </w:tbl>
    <w:p w14:paraId="36879B31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7C3021" w14:paraId="0072CA3E" w14:textId="77777777" w:rsidTr="007C3021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0B596B37" w14:textId="77777777" w:rsidR="00244BB0" w:rsidRPr="007C3021" w:rsidRDefault="00244BB0" w:rsidP="007C3021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7C3021">
              <w:rPr>
                <w:b/>
                <w:color w:val="FFFFFF"/>
              </w:rPr>
              <w:t>Your article</w:t>
            </w:r>
          </w:p>
        </w:tc>
      </w:tr>
      <w:tr w:rsidR="003F0D73" w:rsidRPr="007C3021" w14:paraId="035744D1" w14:textId="77777777" w:rsidTr="007C3021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EC554E9" w14:textId="77777777" w:rsidR="003F0D73" w:rsidRPr="007C3021" w:rsidRDefault="00C076EC" w:rsidP="007C3021">
            <w:pPr>
              <w:spacing w:after="0" w:line="240" w:lineRule="auto"/>
              <w:rPr>
                <w:b/>
              </w:rPr>
            </w:pPr>
            <w:proofErr w:type="spellStart"/>
            <w:r w:rsidRPr="00BB0CD5">
              <w:rPr>
                <w:lang w:val="en-US" w:eastAsia="ja-JP" w:bidi="ar-EG"/>
              </w:rPr>
              <w:t>Cherkaoui</w:t>
            </w:r>
            <w:proofErr w:type="spellEnd"/>
            <w:r w:rsidRPr="00BB0CD5">
              <w:rPr>
                <w:lang w:val="en-US" w:eastAsia="ja-JP" w:bidi="ar-EG"/>
              </w:rPr>
              <w:t>, Ahmed (1934-1967)</w:t>
            </w:r>
            <w:r w:rsidRPr="00BB0CD5">
              <w:rPr>
                <w:lang w:val="en-US" w:eastAsia="ja-JP" w:bidi="ar-EG"/>
              </w:rPr>
              <w:tab/>
            </w:r>
          </w:p>
        </w:tc>
      </w:tr>
      <w:tr w:rsidR="00464699" w:rsidRPr="007C3021" w14:paraId="4CA189CE" w14:textId="77777777" w:rsidTr="007C3021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5F7C085" w14:textId="77777777" w:rsidR="00464699" w:rsidRPr="007C3021" w:rsidRDefault="00464699" w:rsidP="007C3021">
            <w:pPr>
              <w:spacing w:after="0" w:line="240" w:lineRule="auto"/>
            </w:pPr>
            <w:r w:rsidRPr="007C3021">
              <w:rPr>
                <w:rStyle w:val="PlaceholderText"/>
                <w:b/>
              </w:rPr>
              <w:t xml:space="preserve">[Enter any </w:t>
            </w:r>
            <w:r w:rsidRPr="007C3021">
              <w:rPr>
                <w:rStyle w:val="PlaceholderText"/>
                <w:b/>
                <w:i/>
              </w:rPr>
              <w:t>variant forms</w:t>
            </w:r>
            <w:r w:rsidRPr="007C3021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7C3021" w14:paraId="1A1315E1" w14:textId="77777777" w:rsidTr="007C3021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6C30755B" w14:textId="55E3DF4F" w:rsidR="00E85A05" w:rsidRPr="00C076EC" w:rsidRDefault="0078246F" w:rsidP="00D90511">
            <w:pPr>
              <w:spacing w:after="0" w:line="240" w:lineRule="auto"/>
              <w:rPr>
                <w:color w:val="222222"/>
              </w:rPr>
            </w:pPr>
            <w:r w:rsidRPr="007C3021">
              <w:rPr>
                <w:lang w:bidi="ar-EG"/>
              </w:rPr>
              <w:t xml:space="preserve">Ahmed </w:t>
            </w:r>
            <w:proofErr w:type="spellStart"/>
            <w:r w:rsidRPr="007C3021">
              <w:rPr>
                <w:lang w:bidi="ar-EG"/>
              </w:rPr>
              <w:t>Cherkaoui</w:t>
            </w:r>
            <w:proofErr w:type="spellEnd"/>
            <w:r w:rsidRPr="007C3021">
              <w:rPr>
                <w:lang w:bidi="ar-EG"/>
              </w:rPr>
              <w:t xml:space="preserve"> was one of the leading modernist painters of Moroccan art during the period following independence in 1956. </w:t>
            </w:r>
            <w:proofErr w:type="spellStart"/>
            <w:r w:rsidRPr="007C3021">
              <w:t>Cherkaoui’s</w:t>
            </w:r>
            <w:proofErr w:type="spellEnd"/>
            <w:r w:rsidRPr="007C3021">
              <w:t xml:space="preserve"> large-scale abstract and symbolic canvases negotiated a number of influences from his personal and academic life: </w:t>
            </w:r>
            <w:proofErr w:type="spellStart"/>
            <w:r w:rsidRPr="007C3021">
              <w:t>Amazighi</w:t>
            </w:r>
            <w:proofErr w:type="spellEnd"/>
            <w:r w:rsidRPr="007C3021">
              <w:t xml:space="preserve"> folk-art, the paintings of </w:t>
            </w:r>
            <w:r w:rsidRPr="007C3021">
              <w:rPr>
                <w:color w:val="222222"/>
              </w:rPr>
              <w:t xml:space="preserve">Roger </w:t>
            </w:r>
            <w:proofErr w:type="spellStart"/>
            <w:r w:rsidRPr="007C3021">
              <w:rPr>
                <w:color w:val="222222"/>
              </w:rPr>
              <w:t>Bissière</w:t>
            </w:r>
            <w:proofErr w:type="spellEnd"/>
            <w:r w:rsidRPr="007C3021">
              <w:rPr>
                <w:b/>
                <w:bCs/>
                <w:color w:val="222222"/>
              </w:rPr>
              <w:t xml:space="preserve"> </w:t>
            </w:r>
            <w:r w:rsidRPr="007C3021">
              <w:rPr>
                <w:bCs/>
                <w:color w:val="222222"/>
              </w:rPr>
              <w:t xml:space="preserve">and </w:t>
            </w:r>
            <w:r w:rsidRPr="007C3021">
              <w:t xml:space="preserve">Paul Klee, and Surrealism. He predominantly used dark colours in his work prior to 1965, while his later works featured lighter colours </w:t>
            </w:r>
            <w:r>
              <w:t>and a range of</w:t>
            </w:r>
            <w:r w:rsidRPr="007C3021">
              <w:t xml:space="preserve"> various </w:t>
            </w:r>
            <w:r>
              <w:t>materials and techniques</w:t>
            </w:r>
            <w:r w:rsidRPr="007C3021">
              <w:t xml:space="preserve"> including fibre, gouache and watercolour, and a new creative approach to space. Highly interested in calligraphy and the motifs of popular talismans</w:t>
            </w:r>
            <w:r>
              <w:t xml:space="preserve">, </w:t>
            </w:r>
            <w:proofErr w:type="spellStart"/>
            <w:r>
              <w:t>Cherkaoui</w:t>
            </w:r>
            <w:proofErr w:type="spellEnd"/>
            <w:r>
              <w:t xml:space="preserve"> was</w:t>
            </w:r>
            <w:r w:rsidRPr="007C3021">
              <w:t xml:space="preserve"> also influenced by 20</w:t>
            </w:r>
            <w:r w:rsidRPr="007C3021">
              <w:rPr>
                <w:vertAlign w:val="superscript"/>
              </w:rPr>
              <w:t>th</w:t>
            </w:r>
            <w:r>
              <w:t xml:space="preserve"> century western modern art. As such, he </w:t>
            </w:r>
            <w:r w:rsidRPr="007C3021">
              <w:t xml:space="preserve">combined features of tradition and modernity, and negotiated between the aesthetic and abstract nature of the signs and symbols highlighting Islamic art and innovative modernist techniques. However, </w:t>
            </w:r>
            <w:proofErr w:type="spellStart"/>
            <w:r w:rsidRPr="007C3021">
              <w:t>Cherkaoui’s</w:t>
            </w:r>
            <w:proofErr w:type="spellEnd"/>
            <w:r w:rsidRPr="007C3021">
              <w:t xml:space="preserve"> resort to signs and shapes including triangles, circles, lozenges, dots, and broken and curved lines </w:t>
            </w:r>
            <w:r>
              <w:t>extends</w:t>
            </w:r>
            <w:r w:rsidRPr="007C3021">
              <w:t xml:space="preserve"> beyond ornamental purposes. </w:t>
            </w:r>
            <w:proofErr w:type="spellStart"/>
            <w:r w:rsidRPr="007C3021">
              <w:t>Cherkaoui</w:t>
            </w:r>
            <w:proofErr w:type="spellEnd"/>
            <w:r w:rsidRPr="007C3021">
              <w:t xml:space="preserve"> lived between Europe and North Africa, and died suddenly after returning to Casablanca. After his death, his work was featured in a series of retrospective shows entitled </w:t>
            </w:r>
            <w:proofErr w:type="spellStart"/>
            <w:r w:rsidRPr="007C3021">
              <w:rPr>
                <w:i/>
                <w:iCs/>
              </w:rPr>
              <w:t>Hommage</w:t>
            </w:r>
            <w:proofErr w:type="spellEnd"/>
            <w:r w:rsidRPr="007C3021">
              <w:rPr>
                <w:i/>
                <w:iCs/>
              </w:rPr>
              <w:t xml:space="preserve"> </w:t>
            </w:r>
            <w:r w:rsidRPr="007C3021">
              <w:rPr>
                <w:i/>
                <w:iCs/>
                <w:color w:val="222222"/>
              </w:rPr>
              <w:t xml:space="preserve">à </w:t>
            </w:r>
            <w:proofErr w:type="spellStart"/>
            <w:r w:rsidRPr="007C3021">
              <w:rPr>
                <w:i/>
                <w:iCs/>
                <w:color w:val="222222"/>
              </w:rPr>
              <w:t>Cherkaoui</w:t>
            </w:r>
            <w:proofErr w:type="spellEnd"/>
            <w:r w:rsidRPr="007C3021">
              <w:rPr>
                <w:color w:val="222222"/>
              </w:rPr>
              <w:t xml:space="preserve"> organised at the Biennale de Paris and the Salon of Sacred Art in Paris, which was followed by the Biennale Exhibit of New Delhi in 1968 in India. </w:t>
            </w:r>
          </w:p>
        </w:tc>
      </w:tr>
      <w:tr w:rsidR="003F0D73" w:rsidRPr="007C3021" w14:paraId="38612E1E" w14:textId="77777777" w:rsidTr="007C3021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18D1F158" w14:textId="270C9CBA" w:rsidR="000519B2" w:rsidRDefault="00D90511" w:rsidP="007C3021">
            <w:pPr>
              <w:spacing w:after="0" w:line="240" w:lineRule="auto"/>
              <w:rPr>
                <w:color w:val="222222"/>
              </w:rPr>
            </w:pPr>
            <w:r w:rsidRPr="007C3021">
              <w:rPr>
                <w:lang w:bidi="ar-EG"/>
              </w:rPr>
              <w:t xml:space="preserve">Ahmed </w:t>
            </w:r>
            <w:proofErr w:type="spellStart"/>
            <w:r w:rsidRPr="007C3021">
              <w:rPr>
                <w:lang w:bidi="ar-EG"/>
              </w:rPr>
              <w:t>Cherkaoui</w:t>
            </w:r>
            <w:proofErr w:type="spellEnd"/>
            <w:r w:rsidRPr="007C3021">
              <w:rPr>
                <w:lang w:bidi="ar-EG"/>
              </w:rPr>
              <w:t xml:space="preserve"> was one of the leading modernist painters of Moroccan art during the period following independence in 1956. </w:t>
            </w:r>
            <w:proofErr w:type="spellStart"/>
            <w:r w:rsidRPr="007C3021">
              <w:t>Cherkaoui’s</w:t>
            </w:r>
            <w:proofErr w:type="spellEnd"/>
            <w:r w:rsidRPr="007C3021">
              <w:t xml:space="preserve"> large-scale abstract and symbolic canvases negotiated a number of influences from his personal and academic life: </w:t>
            </w:r>
            <w:proofErr w:type="spellStart"/>
            <w:r w:rsidRPr="007C3021">
              <w:t>Amazighi</w:t>
            </w:r>
            <w:proofErr w:type="spellEnd"/>
            <w:r w:rsidRPr="007C3021">
              <w:t xml:space="preserve"> folk-art, the paintings of </w:t>
            </w:r>
            <w:r w:rsidRPr="007C3021">
              <w:rPr>
                <w:color w:val="222222"/>
              </w:rPr>
              <w:t xml:space="preserve">Roger </w:t>
            </w:r>
            <w:proofErr w:type="spellStart"/>
            <w:r w:rsidRPr="007C3021">
              <w:rPr>
                <w:color w:val="222222"/>
              </w:rPr>
              <w:t>Bissière</w:t>
            </w:r>
            <w:proofErr w:type="spellEnd"/>
            <w:r w:rsidRPr="007C3021">
              <w:rPr>
                <w:b/>
                <w:bCs/>
                <w:color w:val="222222"/>
              </w:rPr>
              <w:t xml:space="preserve"> </w:t>
            </w:r>
            <w:r w:rsidRPr="007C3021">
              <w:rPr>
                <w:bCs/>
                <w:color w:val="222222"/>
              </w:rPr>
              <w:t xml:space="preserve">and </w:t>
            </w:r>
            <w:r w:rsidRPr="007C3021">
              <w:t xml:space="preserve">Paul Klee, and Surrealism. He predominantly used dark colours in his work prior to 1965, while his later works featured lighter colours </w:t>
            </w:r>
            <w:r>
              <w:t>and a range of</w:t>
            </w:r>
            <w:r w:rsidRPr="007C3021">
              <w:t xml:space="preserve"> various </w:t>
            </w:r>
            <w:r w:rsidR="0006373F">
              <w:t>materials and techniques</w:t>
            </w:r>
            <w:r w:rsidRPr="007C3021">
              <w:t xml:space="preserve"> including fibre, gouache and watercolour, and a new creative approach to space. Highly interested in calligraphy and the motifs of popular talismans</w:t>
            </w:r>
            <w:r w:rsidR="009B0A21">
              <w:t xml:space="preserve">, </w:t>
            </w:r>
            <w:proofErr w:type="spellStart"/>
            <w:r w:rsidR="009B0A21">
              <w:t>Cherkaoui</w:t>
            </w:r>
            <w:proofErr w:type="spellEnd"/>
            <w:r w:rsidR="009B0A21">
              <w:t xml:space="preserve"> was</w:t>
            </w:r>
            <w:r w:rsidRPr="007C3021">
              <w:t xml:space="preserve"> also influenced by 20</w:t>
            </w:r>
            <w:r w:rsidRPr="007C3021">
              <w:rPr>
                <w:vertAlign w:val="superscript"/>
              </w:rPr>
              <w:t>th</w:t>
            </w:r>
            <w:r w:rsidR="00C5002A">
              <w:t xml:space="preserve"> century western modern art. As such, he </w:t>
            </w:r>
            <w:r w:rsidRPr="007C3021">
              <w:t xml:space="preserve">combined features of tradition and modernity, and negotiated between the aesthetic and abstract nature of the signs and symbols highlighting Islamic art and innovative modernist techniques. However, </w:t>
            </w:r>
            <w:proofErr w:type="spellStart"/>
            <w:r w:rsidRPr="007C3021">
              <w:t>Cherkaoui’s</w:t>
            </w:r>
            <w:proofErr w:type="spellEnd"/>
            <w:r w:rsidRPr="007C3021">
              <w:t xml:space="preserve"> resort to signs and shapes including triangles, circles, lozenges, dots, and broken and curved lines </w:t>
            </w:r>
            <w:r>
              <w:t>extends</w:t>
            </w:r>
            <w:r w:rsidRPr="007C3021">
              <w:t xml:space="preserve"> beyond ornamental purposes. </w:t>
            </w:r>
            <w:proofErr w:type="spellStart"/>
            <w:r w:rsidRPr="007C3021">
              <w:t>Cherkaoui</w:t>
            </w:r>
            <w:proofErr w:type="spellEnd"/>
            <w:r w:rsidRPr="007C3021">
              <w:t xml:space="preserve"> lived between Europe and North Africa, and died suddenly after returning to Casablanca. After his death, his work was featured in a series of retrospective shows entitled </w:t>
            </w:r>
            <w:proofErr w:type="spellStart"/>
            <w:r w:rsidRPr="007C3021">
              <w:rPr>
                <w:i/>
                <w:iCs/>
              </w:rPr>
              <w:t>Hommage</w:t>
            </w:r>
            <w:proofErr w:type="spellEnd"/>
            <w:r w:rsidRPr="007C3021">
              <w:rPr>
                <w:i/>
                <w:iCs/>
              </w:rPr>
              <w:t xml:space="preserve"> </w:t>
            </w:r>
            <w:r w:rsidRPr="007C3021">
              <w:rPr>
                <w:i/>
                <w:iCs/>
                <w:color w:val="222222"/>
              </w:rPr>
              <w:t xml:space="preserve">à </w:t>
            </w:r>
            <w:proofErr w:type="spellStart"/>
            <w:r w:rsidRPr="007C3021">
              <w:rPr>
                <w:i/>
                <w:iCs/>
                <w:color w:val="222222"/>
              </w:rPr>
              <w:t>Cherkaoui</w:t>
            </w:r>
            <w:proofErr w:type="spellEnd"/>
            <w:r w:rsidRPr="007C3021">
              <w:rPr>
                <w:color w:val="222222"/>
              </w:rPr>
              <w:t xml:space="preserve"> organised at the Biennale de Paris and the Salon of Sacred Art in Paris, which was followed by the Biennale Exhibit of New Delhi in 1968 in India. </w:t>
            </w:r>
          </w:p>
          <w:p w14:paraId="17A12F83" w14:textId="77777777" w:rsidR="00D90511" w:rsidRPr="007C3021" w:rsidRDefault="00D90511" w:rsidP="007C3021">
            <w:pPr>
              <w:spacing w:after="0" w:line="240" w:lineRule="auto"/>
              <w:rPr>
                <w:color w:val="222222"/>
              </w:rPr>
            </w:pPr>
          </w:p>
          <w:p w14:paraId="49248BDE" w14:textId="77777777" w:rsidR="000519B2" w:rsidRPr="007C3021" w:rsidRDefault="000519B2" w:rsidP="007C3021">
            <w:pPr>
              <w:spacing w:after="0" w:line="240" w:lineRule="auto"/>
            </w:pPr>
            <w:r w:rsidRPr="007C3021">
              <w:rPr>
                <w:bCs/>
              </w:rPr>
              <w:t xml:space="preserve">Born in the </w:t>
            </w:r>
            <w:r w:rsidRPr="007C3021">
              <w:rPr>
                <w:bCs/>
                <w:iCs/>
              </w:rPr>
              <w:t xml:space="preserve">small town of </w:t>
            </w:r>
            <w:proofErr w:type="spellStart"/>
            <w:r w:rsidRPr="007C3021">
              <w:rPr>
                <w:bCs/>
                <w:iCs/>
              </w:rPr>
              <w:t>Boujad</w:t>
            </w:r>
            <w:proofErr w:type="spellEnd"/>
            <w:r w:rsidRPr="007C3021">
              <w:rPr>
                <w:bCs/>
                <w:iCs/>
              </w:rPr>
              <w:t xml:space="preserve"> </w:t>
            </w:r>
            <w:r w:rsidRPr="007C3021">
              <w:t xml:space="preserve">in the </w:t>
            </w:r>
            <w:proofErr w:type="spellStart"/>
            <w:r w:rsidRPr="007C3021">
              <w:t>Chaouia</w:t>
            </w:r>
            <w:proofErr w:type="spellEnd"/>
            <w:r w:rsidRPr="007C3021">
              <w:t xml:space="preserve"> plain</w:t>
            </w:r>
            <w:r w:rsidRPr="007C3021">
              <w:rPr>
                <w:bCs/>
                <w:iCs/>
              </w:rPr>
              <w:t xml:space="preserve"> of central Morocco</w:t>
            </w:r>
            <w:r w:rsidRPr="007C3021">
              <w:t xml:space="preserve">, </w:t>
            </w:r>
            <w:proofErr w:type="spellStart"/>
            <w:r w:rsidRPr="007C3021">
              <w:t>Cherkaoui's</w:t>
            </w:r>
            <w:proofErr w:type="spellEnd"/>
            <w:r w:rsidRPr="007C3021">
              <w:t xml:space="preserve"> fascination </w:t>
            </w:r>
            <w:r w:rsidRPr="007C3021">
              <w:lastRenderedPageBreak/>
              <w:t xml:space="preserve">with signs began with his curiosity about the shapes and meaning of his mother’s tattoos. </w:t>
            </w:r>
            <w:proofErr w:type="spellStart"/>
            <w:r w:rsidRPr="007C3021">
              <w:t>Cherkaoui</w:t>
            </w:r>
            <w:proofErr w:type="spellEnd"/>
            <w:r w:rsidRPr="007C3021">
              <w:t xml:space="preserve"> received degrees from the </w:t>
            </w:r>
            <w:proofErr w:type="spellStart"/>
            <w:r w:rsidRPr="007C3021">
              <w:t>École</w:t>
            </w:r>
            <w:proofErr w:type="spellEnd"/>
            <w:r w:rsidRPr="007C3021">
              <w:t xml:space="preserve"> des Metiers </w:t>
            </w:r>
            <w:proofErr w:type="spellStart"/>
            <w:r w:rsidRPr="007C3021">
              <w:t>d’Art</w:t>
            </w:r>
            <w:proofErr w:type="spellEnd"/>
            <w:r w:rsidRPr="007C3021">
              <w:t xml:space="preserve"> de Paris where he studied graphics from 1956 to 1959, and from the </w:t>
            </w:r>
            <w:proofErr w:type="spellStart"/>
            <w:r w:rsidRPr="007C3021">
              <w:t>Aujame</w:t>
            </w:r>
            <w:proofErr w:type="spellEnd"/>
            <w:r w:rsidRPr="007C3021">
              <w:t xml:space="preserve"> Atelier at the </w:t>
            </w:r>
            <w:proofErr w:type="spellStart"/>
            <w:r w:rsidRPr="007C3021">
              <w:t>École</w:t>
            </w:r>
            <w:proofErr w:type="spellEnd"/>
            <w:r w:rsidRPr="007C3021">
              <w:t xml:space="preserve"> </w:t>
            </w:r>
            <w:proofErr w:type="spellStart"/>
            <w:r w:rsidRPr="007C3021">
              <w:t>Nationale</w:t>
            </w:r>
            <w:proofErr w:type="spellEnd"/>
            <w:r w:rsidRPr="007C3021">
              <w:t xml:space="preserve"> </w:t>
            </w:r>
            <w:proofErr w:type="spellStart"/>
            <w:r w:rsidRPr="007C3021">
              <w:t>Supérieure</w:t>
            </w:r>
            <w:proofErr w:type="spellEnd"/>
            <w:r w:rsidRPr="007C3021">
              <w:t xml:space="preserve"> des Beaux-Arts de Paris. In 1961, </w:t>
            </w:r>
            <w:proofErr w:type="spellStart"/>
            <w:r w:rsidRPr="007C3021">
              <w:t>Cherkaoui</w:t>
            </w:r>
            <w:proofErr w:type="spellEnd"/>
            <w:r w:rsidRPr="007C3021">
              <w:t xml:space="preserve"> moved to Warsaw where he studied at the Academy of Fine Arts. Back in Paris, </w:t>
            </w:r>
            <w:proofErr w:type="spellStart"/>
            <w:r w:rsidRPr="007C3021">
              <w:t>Cherkaoui</w:t>
            </w:r>
            <w:proofErr w:type="spellEnd"/>
            <w:r w:rsidRPr="007C3021">
              <w:t xml:space="preserve"> was awarded a research grant from UNESCO to study signs and symbols in </w:t>
            </w:r>
            <w:proofErr w:type="spellStart"/>
            <w:r w:rsidRPr="007C3021">
              <w:t>Amazighi</w:t>
            </w:r>
            <w:proofErr w:type="spellEnd"/>
            <w:r w:rsidRPr="007C3021">
              <w:t xml:space="preserve"> art and Arab calligraphy. Following his studies, </w:t>
            </w:r>
            <w:proofErr w:type="spellStart"/>
            <w:r w:rsidRPr="007C3021">
              <w:t>Cherkaoui</w:t>
            </w:r>
            <w:proofErr w:type="spellEnd"/>
            <w:r w:rsidRPr="007C3021">
              <w:t xml:space="preserve"> taught drawing classes at the Technical College in Beaumont-</w:t>
            </w:r>
            <w:proofErr w:type="spellStart"/>
            <w:r w:rsidRPr="007C3021">
              <w:t>sur</w:t>
            </w:r>
            <w:proofErr w:type="spellEnd"/>
            <w:r w:rsidRPr="007C3021">
              <w:t xml:space="preserve">-Oise. </w:t>
            </w:r>
          </w:p>
          <w:p w14:paraId="1A16A7C1" w14:textId="77777777" w:rsidR="000519B2" w:rsidRPr="007C3021" w:rsidRDefault="000519B2" w:rsidP="007C3021">
            <w:pPr>
              <w:spacing w:after="0" w:line="240" w:lineRule="auto"/>
            </w:pPr>
          </w:p>
          <w:p w14:paraId="722E645D" w14:textId="5B922035" w:rsidR="000519B2" w:rsidRPr="007C3021" w:rsidRDefault="000519B2" w:rsidP="007C3021">
            <w:pPr>
              <w:spacing w:after="0" w:line="240" w:lineRule="auto"/>
            </w:pPr>
            <w:proofErr w:type="spellStart"/>
            <w:r w:rsidRPr="007C3021">
              <w:t>Cherkaoui’s</w:t>
            </w:r>
            <w:proofErr w:type="spellEnd"/>
            <w:r w:rsidRPr="007C3021">
              <w:t xml:space="preserve"> work during the sixties captured visually complex forms that highlighted Morocco's cultural heritage </w:t>
            </w:r>
            <w:r w:rsidR="00110F06">
              <w:t>by drawing upon</w:t>
            </w:r>
            <w:r w:rsidRPr="007C3021">
              <w:t xml:space="preserve"> various </w:t>
            </w:r>
            <w:r w:rsidR="00110F06">
              <w:t xml:space="preserve">traditional </w:t>
            </w:r>
            <w:commentRangeStart w:id="0"/>
            <w:r w:rsidRPr="007C3021">
              <w:t xml:space="preserve">forms </w:t>
            </w:r>
            <w:commentRangeEnd w:id="0"/>
            <w:r w:rsidR="00DD2512">
              <w:rPr>
                <w:rStyle w:val="CommentReference"/>
              </w:rPr>
              <w:commentReference w:id="0"/>
            </w:r>
            <w:r w:rsidRPr="007C3021">
              <w:t xml:space="preserve">of tattoos, jewellery, pottery, weaving, and handicraft ware motifs. </w:t>
            </w:r>
            <w:proofErr w:type="spellStart"/>
            <w:r w:rsidRPr="007C3021">
              <w:t>Cherkaoui</w:t>
            </w:r>
            <w:proofErr w:type="spellEnd"/>
            <w:r w:rsidRPr="007C3021">
              <w:t xml:space="preserve"> used a system of geometric signs and symbols inspired from both the </w:t>
            </w:r>
            <w:proofErr w:type="spellStart"/>
            <w:r w:rsidRPr="007C3021">
              <w:t>Amazighi</w:t>
            </w:r>
            <w:proofErr w:type="spellEnd"/>
            <w:r w:rsidRPr="007C3021">
              <w:t xml:space="preserve"> tradition and from the </w:t>
            </w:r>
            <w:proofErr w:type="spellStart"/>
            <w:r w:rsidRPr="007C3021">
              <w:t>Zayanes</w:t>
            </w:r>
            <w:proofErr w:type="spellEnd"/>
            <w:r w:rsidRPr="007C3021">
              <w:t xml:space="preserve"> tribe, who were known for </w:t>
            </w:r>
            <w:r w:rsidR="001446BE">
              <w:t>traditional</w:t>
            </w:r>
            <w:r w:rsidRPr="007C3021">
              <w:t xml:space="preserve"> woven wool textiles and other </w:t>
            </w:r>
            <w:bookmarkStart w:id="1" w:name="_GoBack"/>
            <w:bookmarkEnd w:id="1"/>
            <w:r w:rsidRPr="007C3021">
              <w:t>handicrafts.</w:t>
            </w:r>
          </w:p>
          <w:p w14:paraId="78CD2809" w14:textId="77777777" w:rsidR="000519B2" w:rsidRPr="007C3021" w:rsidRDefault="000519B2" w:rsidP="007C3021">
            <w:pPr>
              <w:spacing w:after="0" w:line="240" w:lineRule="auto"/>
            </w:pPr>
          </w:p>
          <w:p w14:paraId="7185E2F8" w14:textId="77777777" w:rsidR="003F0D73" w:rsidRPr="007C3021" w:rsidRDefault="000519B2" w:rsidP="007C3021">
            <w:pPr>
              <w:spacing w:after="0" w:line="240" w:lineRule="auto"/>
            </w:pPr>
            <w:proofErr w:type="spellStart"/>
            <w:r w:rsidRPr="007C3021">
              <w:t>Cherkaoui</w:t>
            </w:r>
            <w:proofErr w:type="spellEnd"/>
            <w:r w:rsidRPr="007C3021">
              <w:t xml:space="preserve"> participated in many solo exhibitions including his one-man show at the Ursula </w:t>
            </w:r>
            <w:proofErr w:type="spellStart"/>
            <w:r w:rsidRPr="007C3021">
              <w:t>Girardon’s</w:t>
            </w:r>
            <w:proofErr w:type="spellEnd"/>
            <w:r w:rsidRPr="007C3021">
              <w:t xml:space="preserve"> Gallery in 1962 Paris, and in numerous collective exhibitions,</w:t>
            </w:r>
            <w:r w:rsidRPr="007C3021">
              <w:rPr>
                <w:rtl/>
              </w:rPr>
              <w:t xml:space="preserve"> </w:t>
            </w:r>
            <w:r w:rsidRPr="007C3021">
              <w:t xml:space="preserve">including ‘20 </w:t>
            </w:r>
            <w:proofErr w:type="spellStart"/>
            <w:r w:rsidRPr="007C3021">
              <w:t>Peintres</w:t>
            </w:r>
            <w:proofErr w:type="spellEnd"/>
            <w:r w:rsidRPr="007C3021">
              <w:t xml:space="preserve"> </w:t>
            </w:r>
            <w:proofErr w:type="spellStart"/>
            <w:r w:rsidRPr="007C3021">
              <w:rPr>
                <w:color w:val="222222"/>
              </w:rPr>
              <w:t>étrangers</w:t>
            </w:r>
            <w:proofErr w:type="spellEnd"/>
            <w:r w:rsidRPr="007C3021">
              <w:t xml:space="preserve">’ in the Parisian </w:t>
            </w:r>
            <w:proofErr w:type="spellStart"/>
            <w:r w:rsidRPr="007C3021">
              <w:rPr>
                <w:color w:val="222222"/>
              </w:rPr>
              <w:t>Musée</w:t>
            </w:r>
            <w:proofErr w:type="spellEnd"/>
            <w:r w:rsidRPr="007C3021">
              <w:t xml:space="preserve"> de </w:t>
            </w:r>
            <w:proofErr w:type="spellStart"/>
            <w:r w:rsidRPr="007C3021">
              <w:t>l’Art</w:t>
            </w:r>
            <w:proofErr w:type="spellEnd"/>
            <w:r w:rsidRPr="007C3021">
              <w:t xml:space="preserve"> </w:t>
            </w:r>
            <w:proofErr w:type="spellStart"/>
            <w:r w:rsidRPr="007C3021">
              <w:t>Moderne</w:t>
            </w:r>
            <w:proofErr w:type="spellEnd"/>
            <w:r w:rsidRPr="007C3021">
              <w:t xml:space="preserve"> in 1963. He won the bronze medal at the 10</w:t>
            </w:r>
            <w:r w:rsidRPr="007C3021">
              <w:rPr>
                <w:vertAlign w:val="superscript"/>
              </w:rPr>
              <w:t>th</w:t>
            </w:r>
            <w:r w:rsidRPr="007C3021">
              <w:t xml:space="preserve"> ‘Salon </w:t>
            </w:r>
            <w:proofErr w:type="spellStart"/>
            <w:r w:rsidRPr="007C3021">
              <w:rPr>
                <w:color w:val="222222"/>
              </w:rPr>
              <w:t>Interministériel</w:t>
            </w:r>
            <w:proofErr w:type="spellEnd"/>
            <w:r w:rsidRPr="007C3021">
              <w:rPr>
                <w:color w:val="222222"/>
              </w:rPr>
              <w:t>’</w:t>
            </w:r>
            <w:r w:rsidRPr="007C3021">
              <w:t xml:space="preserve"> in 1962 and took part regularly in the Salon de Mai in Paris.</w:t>
            </w:r>
          </w:p>
        </w:tc>
      </w:tr>
      <w:tr w:rsidR="003235A7" w:rsidRPr="007C3021" w14:paraId="757CF88B" w14:textId="77777777" w:rsidTr="007C3021">
        <w:tc>
          <w:tcPr>
            <w:tcW w:w="9016" w:type="dxa"/>
            <w:shd w:val="clear" w:color="auto" w:fill="auto"/>
          </w:tcPr>
          <w:p w14:paraId="03330FA4" w14:textId="77777777" w:rsidR="003235A7" w:rsidRPr="007C3021" w:rsidRDefault="003235A7" w:rsidP="007C3021">
            <w:pPr>
              <w:spacing w:after="0" w:line="240" w:lineRule="auto"/>
            </w:pPr>
            <w:r w:rsidRPr="007C3021">
              <w:rPr>
                <w:u w:val="single"/>
              </w:rPr>
              <w:lastRenderedPageBreak/>
              <w:t>Further reading</w:t>
            </w:r>
            <w:r w:rsidRPr="007C3021">
              <w:t>:</w:t>
            </w:r>
          </w:p>
          <w:p w14:paraId="58EBB8C7" w14:textId="77777777" w:rsidR="00AA18BB" w:rsidRDefault="00110F06" w:rsidP="00270099">
            <w:pPr>
              <w:spacing w:after="0" w:line="240" w:lineRule="auto"/>
            </w:pPr>
            <w:sdt>
              <w:sdtPr>
                <w:id w:val="-2094546131"/>
                <w:citation/>
              </w:sdtPr>
              <w:sdtEndPr/>
              <w:sdtContent>
                <w:r w:rsidR="00AA18BB">
                  <w:fldChar w:fldCharType="begin"/>
                </w:r>
                <w:r w:rsidR="00AA18BB">
                  <w:rPr>
                    <w:lang w:val="en-US"/>
                  </w:rPr>
                  <w:instrText xml:space="preserve"> CITATION Bra96 \l 1033 </w:instrText>
                </w:r>
                <w:r w:rsidR="00AA18BB">
                  <w:fldChar w:fldCharType="separate"/>
                </w:r>
                <w:r w:rsidR="00AA18BB" w:rsidRPr="00AA18BB">
                  <w:rPr>
                    <w:noProof/>
                    <w:lang w:val="en-US"/>
                  </w:rPr>
                  <w:t>(Alaoui, Ahmed Cherkaoui: The Passion of Signs )</w:t>
                </w:r>
                <w:r w:rsidR="00AA18BB">
                  <w:fldChar w:fldCharType="end"/>
                </w:r>
              </w:sdtContent>
            </w:sdt>
          </w:p>
          <w:p w14:paraId="661C9EF5" w14:textId="77777777" w:rsidR="00AA18BB" w:rsidRDefault="00110F06" w:rsidP="00270099">
            <w:pPr>
              <w:spacing w:after="0" w:line="240" w:lineRule="auto"/>
            </w:pPr>
            <w:sdt>
              <w:sdtPr>
                <w:id w:val="1587571320"/>
                <w:citation/>
              </w:sdtPr>
              <w:sdtEndPr/>
              <w:sdtContent>
                <w:r w:rsidR="00AA18BB">
                  <w:fldChar w:fldCharType="begin"/>
                </w:r>
                <w:r w:rsidR="00AA18BB">
                  <w:rPr>
                    <w:lang w:val="en-US"/>
                  </w:rPr>
                  <w:instrText xml:space="preserve"> CITATION Bra12 \l 1033 </w:instrText>
                </w:r>
                <w:r w:rsidR="00AA18BB">
                  <w:fldChar w:fldCharType="separate"/>
                </w:r>
                <w:r w:rsidR="00AA18BB" w:rsidRPr="00AA18BB">
                  <w:rPr>
                    <w:noProof/>
                    <w:lang w:val="en-US"/>
                  </w:rPr>
                  <w:t>(Alaoui, Decode his Memory: Ahmed Cherkaoui )</w:t>
                </w:r>
                <w:r w:rsidR="00AA18BB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730B06BA" w14:textId="77777777" w:rsidR="00AA18BB" w:rsidRDefault="00110F06" w:rsidP="00270099">
                <w:pPr>
                  <w:spacing w:after="0" w:line="240" w:lineRule="auto"/>
                  <w:ind w:left="539" w:hanging="539"/>
                </w:pPr>
                <w:sdt>
                  <w:sdtPr>
                    <w:id w:val="-1486310008"/>
                    <w:citation/>
                  </w:sdtPr>
                  <w:sdtEndPr/>
                  <w:sdtContent>
                    <w:r w:rsidR="00AA18BB">
                      <w:fldChar w:fldCharType="begin"/>
                    </w:r>
                    <w:r w:rsidR="00AA18BB">
                      <w:rPr>
                        <w:lang w:val="en-US"/>
                      </w:rPr>
                      <w:instrText xml:space="preserve"> CITATION Wij971 \l 1033 </w:instrText>
                    </w:r>
                    <w:r w:rsidR="00AA18BB">
                      <w:fldChar w:fldCharType="separate"/>
                    </w:r>
                    <w:r w:rsidR="00AA18BB">
                      <w:rPr>
                        <w:noProof/>
                        <w:lang w:val="en-US"/>
                      </w:rPr>
                      <w:t xml:space="preserve"> </w:t>
                    </w:r>
                    <w:r w:rsidR="00AA18BB" w:rsidRPr="00AA18BB">
                      <w:rPr>
                        <w:noProof/>
                        <w:lang w:val="en-US"/>
                      </w:rPr>
                      <w:t>(Ali)</w:t>
                    </w:r>
                    <w:r w:rsidR="00AA18BB">
                      <w:fldChar w:fldCharType="end"/>
                    </w:r>
                  </w:sdtContent>
                </w:sdt>
              </w:p>
              <w:p w14:paraId="7725856F" w14:textId="04965791" w:rsidR="003235A7" w:rsidRPr="007C3021" w:rsidRDefault="00110F06" w:rsidP="007C3021">
                <w:pPr>
                  <w:spacing w:after="0" w:line="240" w:lineRule="auto"/>
                </w:pPr>
                <w:sdt>
                  <w:sdtPr>
                    <w:rPr>
                      <w:rFonts w:ascii="Times New Roman" w:eastAsia="Cambria" w:hAnsi="Times New Roman"/>
                      <w:sz w:val="24"/>
                      <w:szCs w:val="24"/>
                    </w:rPr>
                    <w:id w:val="1496069600"/>
                    <w:citation/>
                  </w:sdtPr>
                  <w:sdtEndPr/>
                  <w:sdtContent>
                    <w:r w:rsidR="00AA18BB">
                      <w:rPr>
                        <w:rFonts w:ascii="Times New Roman" w:eastAsia="Cambria" w:hAnsi="Times New Roman"/>
                        <w:sz w:val="24"/>
                        <w:szCs w:val="24"/>
                      </w:rPr>
                      <w:fldChar w:fldCharType="begin"/>
                    </w:r>
                    <w:r w:rsidR="00AA18BB">
                      <w:rPr>
                        <w:lang w:val="en-US"/>
                      </w:rPr>
                      <w:instrText xml:space="preserve"> CITATION Abd76 \l 1033 </w:instrText>
                    </w:r>
                    <w:r w:rsidR="00AA18BB">
                      <w:rPr>
                        <w:rFonts w:ascii="Times New Roman" w:eastAsia="Cambria" w:hAnsi="Times New Roman"/>
                        <w:sz w:val="24"/>
                        <w:szCs w:val="24"/>
                      </w:rPr>
                      <w:fldChar w:fldCharType="separate"/>
                    </w:r>
                    <w:r w:rsidR="00AA18BB" w:rsidRPr="00AA18BB">
                      <w:rPr>
                        <w:noProof/>
                        <w:lang w:val="en-US"/>
                      </w:rPr>
                      <w:t>(Khatbi, Maleh and Maraini)</w:t>
                    </w:r>
                    <w:r w:rsidR="00AA18BB">
                      <w:rPr>
                        <w:rFonts w:ascii="Times New Roman" w:eastAsia="Cambria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5657EB33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n Johnson" w:date="2014-12-29T21:47:00Z" w:initials="JJ">
    <w:p w14:paraId="68FE0331" w14:textId="1AB68878" w:rsidR="00DD2512" w:rsidRDefault="00DD2512">
      <w:pPr>
        <w:pStyle w:val="CommentText"/>
      </w:pPr>
      <w:r>
        <w:rPr>
          <w:rStyle w:val="CommentReference"/>
        </w:rPr>
        <w:annotationRef/>
      </w:r>
      <w:r>
        <w:t xml:space="preserve">A little confusing: does this mean representations of these things? Or was he actually producing these things?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E327F6" w14:textId="77777777" w:rsidR="000519B2" w:rsidRDefault="000519B2" w:rsidP="007A0D55">
      <w:pPr>
        <w:spacing w:after="0" w:line="240" w:lineRule="auto"/>
      </w:pPr>
      <w:r>
        <w:separator/>
      </w:r>
    </w:p>
  </w:endnote>
  <w:endnote w:type="continuationSeparator" w:id="0">
    <w:p w14:paraId="338D12C8" w14:textId="77777777" w:rsidR="000519B2" w:rsidRDefault="000519B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E6E35D" w14:textId="77777777" w:rsidR="000519B2" w:rsidRDefault="000519B2" w:rsidP="007A0D55">
      <w:pPr>
        <w:spacing w:after="0" w:line="240" w:lineRule="auto"/>
      </w:pPr>
      <w:r>
        <w:separator/>
      </w:r>
    </w:p>
  </w:footnote>
  <w:footnote w:type="continuationSeparator" w:id="0">
    <w:p w14:paraId="5EA9D8EE" w14:textId="77777777" w:rsidR="000519B2" w:rsidRDefault="000519B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91C5E" w14:textId="77777777" w:rsidR="007A0D55" w:rsidRDefault="007A0D55">
    <w:pPr>
      <w:pStyle w:val="Header"/>
    </w:pPr>
    <w:r w:rsidRPr="007C3021">
      <w:rPr>
        <w:b/>
        <w:color w:val="7F7F7F"/>
      </w:rPr>
      <w:t>Taylor &amp; Francis</w:t>
    </w:r>
    <w:r w:rsidRPr="007C3021">
      <w:rPr>
        <w:color w:val="7F7F7F"/>
      </w:rPr>
      <w:t xml:space="preserve"> – </w:t>
    </w:r>
    <w:proofErr w:type="spellStart"/>
    <w:r w:rsidRPr="007C3021">
      <w:rPr>
        <w:i/>
        <w:color w:val="7F7F7F"/>
      </w:rPr>
      <w:t>Encyclopedia</w:t>
    </w:r>
    <w:proofErr w:type="spellEnd"/>
    <w:r w:rsidRPr="007C3021">
      <w:rPr>
        <w:i/>
        <w:color w:val="7F7F7F"/>
      </w:rPr>
      <w:t xml:space="preserve"> of Modernism</w:t>
    </w:r>
  </w:p>
  <w:p w14:paraId="4F82219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B2"/>
    <w:rsid w:val="00032559"/>
    <w:rsid w:val="000519B2"/>
    <w:rsid w:val="00052040"/>
    <w:rsid w:val="0006373F"/>
    <w:rsid w:val="000B25AE"/>
    <w:rsid w:val="000B55AB"/>
    <w:rsid w:val="000D24DC"/>
    <w:rsid w:val="00101B2E"/>
    <w:rsid w:val="00110F06"/>
    <w:rsid w:val="00116FA0"/>
    <w:rsid w:val="001446BE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0099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E13A3"/>
    <w:rsid w:val="007411B9"/>
    <w:rsid w:val="00780D95"/>
    <w:rsid w:val="00780DC7"/>
    <w:rsid w:val="0078246F"/>
    <w:rsid w:val="007A0D55"/>
    <w:rsid w:val="007B3377"/>
    <w:rsid w:val="007C3021"/>
    <w:rsid w:val="007E5F44"/>
    <w:rsid w:val="00821DE3"/>
    <w:rsid w:val="00846CE1"/>
    <w:rsid w:val="008A5B87"/>
    <w:rsid w:val="00922950"/>
    <w:rsid w:val="009A7264"/>
    <w:rsid w:val="009B0A21"/>
    <w:rsid w:val="009D1606"/>
    <w:rsid w:val="009E18A1"/>
    <w:rsid w:val="009E73D7"/>
    <w:rsid w:val="00A236B0"/>
    <w:rsid w:val="00A27D2C"/>
    <w:rsid w:val="00A76FD9"/>
    <w:rsid w:val="00AA18BB"/>
    <w:rsid w:val="00AB436D"/>
    <w:rsid w:val="00AD2F24"/>
    <w:rsid w:val="00AD4844"/>
    <w:rsid w:val="00B219AE"/>
    <w:rsid w:val="00B33145"/>
    <w:rsid w:val="00B574C9"/>
    <w:rsid w:val="00B849E7"/>
    <w:rsid w:val="00B942A8"/>
    <w:rsid w:val="00BC39C9"/>
    <w:rsid w:val="00BE5BF7"/>
    <w:rsid w:val="00BF40E1"/>
    <w:rsid w:val="00C076EC"/>
    <w:rsid w:val="00C27FAB"/>
    <w:rsid w:val="00C358D4"/>
    <w:rsid w:val="00C5002A"/>
    <w:rsid w:val="00C6296B"/>
    <w:rsid w:val="00CC586D"/>
    <w:rsid w:val="00CF1542"/>
    <w:rsid w:val="00CF3EC5"/>
    <w:rsid w:val="00D16CCB"/>
    <w:rsid w:val="00D363BC"/>
    <w:rsid w:val="00D656DA"/>
    <w:rsid w:val="00D83300"/>
    <w:rsid w:val="00D90511"/>
    <w:rsid w:val="00DC6B48"/>
    <w:rsid w:val="00DD2512"/>
    <w:rsid w:val="00DF01B0"/>
    <w:rsid w:val="00E85A05"/>
    <w:rsid w:val="00E95829"/>
    <w:rsid w:val="00EA606C"/>
    <w:rsid w:val="00EB0C8C"/>
    <w:rsid w:val="00EB51FD"/>
    <w:rsid w:val="00EB77DB"/>
    <w:rsid w:val="00ED139F"/>
    <w:rsid w:val="00ED2B3E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0F0C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ＭＳ ゴシック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ＭＳ ゴシック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ＭＳ ゴシック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ＭＳ ゴシック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ＭＳ ゴシック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ＭＳ ゴシック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519B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519B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DD251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D251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512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D25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512"/>
    <w:rPr>
      <w:b/>
      <w:bCs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ＭＳ ゴシック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ＭＳ ゴシック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ＭＳ ゴシック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ＭＳ ゴシック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ＭＳ ゴシック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ＭＳ ゴシック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519B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519B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DD251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D251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512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D25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512"/>
    <w:rPr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Bra96</b:Tag>
    <b:SourceType>Book</b:SourceType>
    <b:Guid>{05A3A330-873F-894D-B61C-4A8E8C0BDC9C}</b:Guid>
    <b:Author>
      <b:Author>
        <b:NameList>
          <b:Person>
            <b:Last>Alaoui</b:Last>
            <b:First>Brahim</b:First>
          </b:Person>
        </b:NameList>
      </b:Author>
    </b:Author>
    <b:Title>Ahmed Cherkaoui: The Passion of Signs </b:Title>
    <b:City>Paris</b:City>
    <b:Publisher>Institut du Monde Arab</b:Publisher>
    <b:Year>1996</b:Year>
    <b:RefOrder>1</b:RefOrder>
  </b:Source>
  <b:Source>
    <b:Tag>Bra12</b:Tag>
    <b:SourceType>BookSection</b:SourceType>
    <b:Guid>{0AE12041-2B5A-C442-B388-9ADC7A22BFC0}</b:Guid>
    <b:Author>
      <b:Author>
        <b:NameList>
          <b:Person>
            <b:Last>Alaoui</b:Last>
            <b:First>Brahim</b:First>
          </b:Person>
        </b:NameList>
      </b:Author>
    </b:Author>
    <b:Title>Decode his Memory: Ahmed Cherkaoui </b:Title>
    <b:BookTitle>Forever Now: Five Anecdotes from the Permanent Collection</b:BookTitle>
    <b:City>Doha</b:City>
    <b:StateProvince>Qatar</b:StateProvince>
    <b:Publisher>Bloomsbury Qatar Foundation Publishing</b:Publisher>
    <b:Year>2012</b:Year>
    <b:Comments>Exhibition Catalogue (17 November 2012 — 6 October 2013) from the Mathaf: Arab Museum of Modern Art</b:Comments>
    <b:RefOrder>2</b:RefOrder>
  </b:Source>
  <b:Source>
    <b:Tag>Wij971</b:Tag>
    <b:SourceType>Book</b:SourceType>
    <b:Guid>{63770328-1747-5A4D-82F0-02CAFB5E25E1}</b:Guid>
    <b:Title>Modern Islamic Art: Development an Continuity </b:Title>
    <b:City>Gainesville</b:City>
    <b:Publisher>Florida UP</b:Publisher>
    <b:Year>1997</b:Year>
    <b:Author>
      <b:Author>
        <b:NameList>
          <b:Person>
            <b:Last>Ali</b:Last>
            <b:First>Wijdan</b:First>
          </b:Person>
        </b:NameList>
      </b:Author>
    </b:Author>
    <b:RefOrder>3</b:RefOrder>
  </b:Source>
  <b:Source>
    <b:Tag>Abd76</b:Tag>
    <b:SourceType>Book</b:SourceType>
    <b:Guid>{8C06CDB6-5E62-6447-A3AE-3D988658962C}</b:Guid>
    <b:Author>
      <b:Author>
        <b:NameList>
          <b:Person>
            <b:Last>Khatbi</b:Last>
            <b:First>Abdelkebir</b:First>
          </b:Person>
          <b:Person>
            <b:Last>Maleh</b:Last>
            <b:First>Edmond</b:First>
            <b:Middle>Amran El</b:Middle>
          </b:Person>
          <b:Person>
            <b:Last>Maraini</b:Last>
            <b:First>Toni</b:First>
          </b:Person>
        </b:NameList>
      </b:Author>
      <b:Editor>
        <b:NameList>
          <b:Person>
            <b:Last>Publications</b:Last>
            <b:First>Shoof</b:First>
          </b:Person>
        </b:NameList>
      </b:Editor>
    </b:Author>
    <b:Title>La Painture de Ahmed Cherkaoui</b:Title>
    <b:City>Barcelona </b:City>
    <b:Publisher>Emograph</b:Publisher>
    <b:Year>1976</b:Year>
    <b:RefOrder>4</b:RefOrder>
  </b:Source>
</b:Sources>
</file>

<file path=customXml/itemProps1.xml><?xml version="1.0" encoding="utf-8"?>
<ds:datastoreItem xmlns:ds="http://schemas.openxmlformats.org/officeDocument/2006/customXml" ds:itemID="{E71109CF-767C-B94A-BD90-0F7F77541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2</Pages>
  <Words>721</Words>
  <Characters>4110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51</cp:revision>
  <dcterms:created xsi:type="dcterms:W3CDTF">2014-12-30T00:44:00Z</dcterms:created>
  <dcterms:modified xsi:type="dcterms:W3CDTF">2014-12-30T05:50:00Z</dcterms:modified>
</cp:coreProperties>
</file>