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659C3B" w14:textId="77777777" w:rsidTr="00E45FB5">
        <w:tc>
          <w:tcPr>
            <w:tcW w:w="491" w:type="dxa"/>
            <w:vMerge w:val="restart"/>
            <w:shd w:val="clear" w:color="auto" w:fill="A6A6A6" w:themeFill="background1" w:themeFillShade="A6"/>
            <w:textDirection w:val="btLr"/>
          </w:tcPr>
          <w:p w14:paraId="59E005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B02730F098774EBE929EBFED0E1A5F"/>
            </w:placeholder>
            <w:showingPlcHdr/>
            <w:dropDownList>
              <w:listItem w:displayText="Dr." w:value="Dr."/>
              <w:listItem w:displayText="Prof." w:value="Prof."/>
            </w:dropDownList>
          </w:sdtPr>
          <w:sdtContent>
            <w:tc>
              <w:tcPr>
                <w:tcW w:w="1296" w:type="dxa"/>
              </w:tcPr>
              <w:p w14:paraId="02337C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832669930BD94CBFD57CB269FE9B98"/>
            </w:placeholder>
            <w:text/>
          </w:sdtPr>
          <w:sdtContent>
            <w:tc>
              <w:tcPr>
                <w:tcW w:w="2073" w:type="dxa"/>
              </w:tcPr>
              <w:p w14:paraId="0C2B8786" w14:textId="77777777" w:rsidR="00B574C9" w:rsidRDefault="00E45FB5" w:rsidP="00E45FB5">
                <w:r>
                  <w:t>Susan</w:t>
                </w:r>
              </w:p>
            </w:tc>
          </w:sdtContent>
        </w:sdt>
        <w:sdt>
          <w:sdtPr>
            <w:alias w:val="Middle name"/>
            <w:tag w:val="authorMiddleName"/>
            <w:id w:val="-2076034781"/>
            <w:placeholder>
              <w:docPart w:val="CCA68C99DC67054E88DFC60A082747B6"/>
            </w:placeholder>
            <w:showingPlcHdr/>
            <w:text/>
          </w:sdtPr>
          <w:sdtContent>
            <w:tc>
              <w:tcPr>
                <w:tcW w:w="2551" w:type="dxa"/>
              </w:tcPr>
              <w:p w14:paraId="7CFAD002" w14:textId="77777777" w:rsidR="00B574C9" w:rsidRDefault="00B574C9" w:rsidP="00922950">
                <w:r>
                  <w:rPr>
                    <w:rStyle w:val="PlaceholderText"/>
                  </w:rPr>
                  <w:t>[Middle name]</w:t>
                </w:r>
              </w:p>
            </w:tc>
          </w:sdtContent>
        </w:sdt>
        <w:sdt>
          <w:sdtPr>
            <w:alias w:val="Last name"/>
            <w:tag w:val="authorLastName"/>
            <w:id w:val="-1088529830"/>
            <w:placeholder>
              <w:docPart w:val="5F4C192B2F030A44895ABC5D1B3B9674"/>
            </w:placeholder>
            <w:text/>
          </w:sdtPr>
          <w:sdtContent>
            <w:tc>
              <w:tcPr>
                <w:tcW w:w="2642" w:type="dxa"/>
              </w:tcPr>
              <w:p w14:paraId="3D0AD3A1" w14:textId="77777777" w:rsidR="00B574C9" w:rsidRDefault="00E45FB5" w:rsidP="00E45FB5">
                <w:r>
                  <w:t>Jones</w:t>
                </w:r>
              </w:p>
            </w:tc>
          </w:sdtContent>
        </w:sdt>
      </w:tr>
      <w:tr w:rsidR="00B574C9" w14:paraId="3529B474" w14:textId="77777777" w:rsidTr="00E45FB5">
        <w:trPr>
          <w:trHeight w:val="986"/>
        </w:trPr>
        <w:tc>
          <w:tcPr>
            <w:tcW w:w="491" w:type="dxa"/>
            <w:vMerge/>
            <w:shd w:val="clear" w:color="auto" w:fill="A6A6A6" w:themeFill="background1" w:themeFillShade="A6"/>
          </w:tcPr>
          <w:p w14:paraId="4C276DFB" w14:textId="77777777" w:rsidR="00B574C9" w:rsidRPr="001A6A06" w:rsidRDefault="00B574C9" w:rsidP="00CF1542">
            <w:pPr>
              <w:jc w:val="center"/>
              <w:rPr>
                <w:b/>
                <w:color w:val="FFFFFF" w:themeColor="background1"/>
              </w:rPr>
            </w:pPr>
          </w:p>
        </w:tc>
        <w:sdt>
          <w:sdtPr>
            <w:alias w:val="Biography"/>
            <w:tag w:val="authorBiography"/>
            <w:id w:val="938807824"/>
            <w:placeholder>
              <w:docPart w:val="1D840C2EAB0F204396F88EF3E16460E9"/>
            </w:placeholder>
            <w:showingPlcHdr/>
          </w:sdtPr>
          <w:sdtContent>
            <w:tc>
              <w:tcPr>
                <w:tcW w:w="8562" w:type="dxa"/>
                <w:gridSpan w:val="4"/>
              </w:tcPr>
              <w:p w14:paraId="1FB31B44" w14:textId="77777777" w:rsidR="00B574C9" w:rsidRDefault="00B574C9" w:rsidP="00922950">
                <w:r>
                  <w:rPr>
                    <w:rStyle w:val="PlaceholderText"/>
                  </w:rPr>
                  <w:t>[Enter your biography]</w:t>
                </w:r>
              </w:p>
            </w:tc>
          </w:sdtContent>
        </w:sdt>
      </w:tr>
      <w:tr w:rsidR="00B574C9" w14:paraId="02F4FEF3" w14:textId="77777777" w:rsidTr="00E45FB5">
        <w:trPr>
          <w:trHeight w:val="986"/>
        </w:trPr>
        <w:tc>
          <w:tcPr>
            <w:tcW w:w="491" w:type="dxa"/>
            <w:vMerge/>
            <w:shd w:val="clear" w:color="auto" w:fill="A6A6A6" w:themeFill="background1" w:themeFillShade="A6"/>
          </w:tcPr>
          <w:p w14:paraId="1BFC9B30" w14:textId="77777777" w:rsidR="00B574C9" w:rsidRPr="001A6A06" w:rsidRDefault="00B574C9" w:rsidP="00CF1542">
            <w:pPr>
              <w:jc w:val="center"/>
              <w:rPr>
                <w:b/>
                <w:color w:val="FFFFFF" w:themeColor="background1"/>
              </w:rPr>
            </w:pPr>
          </w:p>
        </w:tc>
        <w:sdt>
          <w:sdtPr>
            <w:alias w:val="Affiliation"/>
            <w:tag w:val="affiliation"/>
            <w:id w:val="2012937915"/>
            <w:placeholder>
              <w:docPart w:val="37E9024FFAD0444C8E7D353714D58F3A"/>
            </w:placeholder>
            <w:text/>
          </w:sdtPr>
          <w:sdtContent>
            <w:tc>
              <w:tcPr>
                <w:tcW w:w="8562" w:type="dxa"/>
                <w:gridSpan w:val="4"/>
              </w:tcPr>
              <w:p w14:paraId="44DA3A22" w14:textId="77777777" w:rsidR="00B574C9" w:rsidRDefault="00E45FB5" w:rsidP="00B574C9">
                <w:r w:rsidRPr="0042318E">
                  <w:rPr>
                    <w:rFonts w:ascii="Calibri" w:eastAsia="Times New Roman" w:hAnsi="Calibri" w:cs="Times New Roman"/>
                    <w:sz w:val="20"/>
                    <w:szCs w:val="20"/>
                  </w:rPr>
                  <w:t>St. Hilda's College</w:t>
                </w:r>
                <w:r>
                  <w:rPr>
                    <w:rFonts w:ascii="Calibri" w:eastAsia="Times New Roman" w:hAnsi="Calibri" w:cs="Times New Roman"/>
                    <w:sz w:val="20"/>
                    <w:szCs w:val="20"/>
                  </w:rPr>
                  <w:t>, University of Oxford</w:t>
                </w:r>
              </w:p>
            </w:tc>
          </w:sdtContent>
        </w:sdt>
      </w:tr>
    </w:tbl>
    <w:p w14:paraId="0BE566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C1C15C" w14:textId="77777777" w:rsidTr="00244BB0">
        <w:tc>
          <w:tcPr>
            <w:tcW w:w="9016" w:type="dxa"/>
            <w:shd w:val="clear" w:color="auto" w:fill="A6A6A6" w:themeFill="background1" w:themeFillShade="A6"/>
            <w:tcMar>
              <w:top w:w="113" w:type="dxa"/>
              <w:bottom w:w="113" w:type="dxa"/>
            </w:tcMar>
          </w:tcPr>
          <w:p w14:paraId="7A9B10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468209" w14:textId="77777777" w:rsidTr="003F0D73">
        <w:sdt>
          <w:sdtPr>
            <w:rPr>
              <w:b/>
            </w:rPr>
            <w:alias w:val="Article headword"/>
            <w:tag w:val="articleHeadword"/>
            <w:id w:val="-361440020"/>
            <w:placeholder>
              <w:docPart w:val="F5D5CDCB518224449E688FF884641E35"/>
            </w:placeholder>
            <w:text/>
          </w:sdtPr>
          <w:sdtContent>
            <w:tc>
              <w:tcPr>
                <w:tcW w:w="9016" w:type="dxa"/>
                <w:tcMar>
                  <w:top w:w="113" w:type="dxa"/>
                  <w:bottom w:w="113" w:type="dxa"/>
                </w:tcMar>
              </w:tcPr>
              <w:p w14:paraId="0923AA3C" w14:textId="77777777" w:rsidR="003F0D73" w:rsidRPr="00FB589A" w:rsidRDefault="00E45FB5" w:rsidP="00E45FB5">
                <w:r w:rsidRPr="00E45FB5">
                  <w:rPr>
                    <w:b/>
                    <w:lang w:eastAsia="ja-JP"/>
                  </w:rPr>
                  <w:t xml:space="preserve">Howard, </w:t>
                </w:r>
                <w:proofErr w:type="spellStart"/>
                <w:r w:rsidRPr="00E45FB5">
                  <w:rPr>
                    <w:b/>
                    <w:lang w:eastAsia="ja-JP"/>
                  </w:rPr>
                  <w:t>Andrée</w:t>
                </w:r>
                <w:proofErr w:type="spellEnd"/>
                <w:r w:rsidRPr="00E45FB5">
                  <w:rPr>
                    <w:b/>
                    <w:lang w:eastAsia="ja-JP"/>
                  </w:rPr>
                  <w:t xml:space="preserve"> (1910-1968)</w:t>
                </w:r>
              </w:p>
            </w:tc>
          </w:sdtContent>
        </w:sdt>
      </w:tr>
      <w:tr w:rsidR="00464699" w14:paraId="43A9394C" w14:textId="77777777" w:rsidTr="00BE5707">
        <w:sdt>
          <w:sdtPr>
            <w:alias w:val="Variant headwords"/>
            <w:tag w:val="variantHeadwords"/>
            <w:id w:val="173464402"/>
            <w:placeholder>
              <w:docPart w:val="057BD51638C801488B9E43B8A78D22BF"/>
            </w:placeholder>
          </w:sdtPr>
          <w:sdtContent>
            <w:commentRangeStart w:id="0" w:displacedByCustomXml="prev"/>
            <w:tc>
              <w:tcPr>
                <w:tcW w:w="9016" w:type="dxa"/>
                <w:tcMar>
                  <w:top w:w="113" w:type="dxa"/>
                  <w:bottom w:w="113" w:type="dxa"/>
                </w:tcMar>
              </w:tcPr>
              <w:p w14:paraId="03F75C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commentRangeEnd w:id="0"/>
                <w:r w:rsidR="009C3251">
                  <w:rPr>
                    <w:rStyle w:val="CommentReference"/>
                  </w:rPr>
                  <w:commentReference w:id="0"/>
                </w:r>
              </w:p>
            </w:tc>
          </w:sdtContent>
        </w:sdt>
      </w:tr>
      <w:tr w:rsidR="00E85A05" w14:paraId="1FBF508A" w14:textId="77777777" w:rsidTr="003F0D73">
        <w:sdt>
          <w:sdtPr>
            <w:alias w:val="Abstract"/>
            <w:tag w:val="abstract"/>
            <w:id w:val="-635871867"/>
            <w:placeholder>
              <w:docPart w:val="8898F8234F1FC54D80ACF117C7C3D188"/>
            </w:placeholder>
          </w:sdtPr>
          <w:sdtContent>
            <w:tc>
              <w:tcPr>
                <w:tcW w:w="9016" w:type="dxa"/>
                <w:tcMar>
                  <w:top w:w="113" w:type="dxa"/>
                  <w:bottom w:w="113" w:type="dxa"/>
                </w:tcMar>
              </w:tcPr>
              <w:p w14:paraId="4E07E3E9" w14:textId="77777777" w:rsidR="00E85A05" w:rsidRDefault="00BE5707" w:rsidP="00E85A05">
                <w:proofErr w:type="spellStart"/>
                <w:r w:rsidRPr="00BF6F03">
                  <w:t>Andrée</w:t>
                </w:r>
                <w:proofErr w:type="spellEnd"/>
                <w:r w:rsidRPr="00BF6F03">
                  <w:t xml:space="preserve"> Howard belonged to a group of British choreographers, including Frederick Ashton and Antony Tudor, who began their careers with the Polish-born Marie </w:t>
                </w:r>
                <w:proofErr w:type="spellStart"/>
                <w:r w:rsidRPr="00BF6F03">
                  <w:t>Ramber</w:t>
                </w:r>
                <w:r>
                  <w:t>t</w:t>
                </w:r>
                <w:proofErr w:type="spellEnd"/>
                <w:r>
                  <w:t xml:space="preserve">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of abstract and narrative forms and</w:t>
                </w:r>
                <w:r w:rsidRPr="00BF6F03">
                  <w:t xml:space="preserve"> a witty penchant for comedy, and her styles ranged from lyrical and poetic to strikingly theatrical. During the 1930s and 1940s</w:t>
                </w:r>
                <w:r>
                  <w:t>,</w:t>
                </w:r>
                <w:r w:rsidRPr="00BF6F03">
                  <w:t xml:space="preserve"> Howard danced with, and created many ballets for</w:t>
                </w:r>
                <w:r>
                  <w:t>,</w:t>
                </w:r>
                <w:r w:rsidRPr="00BF6F03">
                  <w:t xml:space="preserve"> </w:t>
                </w:r>
                <w:proofErr w:type="spellStart"/>
                <w:r w:rsidRPr="00BF6F03">
                  <w:t>Rambert’s</w:t>
                </w:r>
                <w:proofErr w:type="spellEnd"/>
                <w:r w:rsidRPr="00BF6F03">
                  <w:t xml:space="preserve"> Ballet Club and the Ballet </w:t>
                </w:r>
                <w:proofErr w:type="spellStart"/>
                <w:r w:rsidRPr="00BF6F03">
                  <w:t>Rambert</w:t>
                </w:r>
                <w:proofErr w:type="spellEnd"/>
                <w:r w:rsidRPr="00BF6F03">
                  <w:t xml:space="preserve"> company. She found artistic collaboration within the intimate atmosphere of a small group most congenia</w:t>
                </w:r>
                <w:r>
                  <w:t>l,</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 xml:space="preserve">La Fête </w:t>
                </w:r>
                <w:proofErr w:type="spellStart"/>
                <w:r w:rsidRPr="00BF6F03">
                  <w:rPr>
                    <w:i/>
                  </w:rPr>
                  <w:t>étrange</w:t>
                </w:r>
                <w:proofErr w:type="spellEnd"/>
                <w:r w:rsidRPr="00BF6F03">
                  <w:t xml:space="preserve"> (</w:t>
                </w:r>
                <w:r w:rsidRPr="00BF6F03">
                  <w:rPr>
                    <w:i/>
                  </w:rPr>
                  <w:t>The Strange Celebration</w:t>
                </w:r>
                <w:r w:rsidRPr="00BF6F03">
                  <w:t xml:space="preserve">, 1940), although she did not exclusively work in this medium. She also produced pure dance works throughout her career, including </w:t>
                </w:r>
                <w:r w:rsidRPr="00BF6F03">
                  <w:rPr>
                    <w:i/>
                  </w:rPr>
                  <w:t>Assembly Ball</w:t>
                </w:r>
                <w:r w:rsidRPr="00BF6F03">
                  <w:t xml:space="preserve"> (1946) and </w:t>
                </w:r>
                <w:proofErr w:type="spellStart"/>
                <w:r w:rsidRPr="00BF6F03">
                  <w:rPr>
                    <w:i/>
                  </w:rPr>
                  <w:t>Veneziana</w:t>
                </w:r>
                <w:proofErr w:type="spellEnd"/>
                <w:r w:rsidRPr="00BF6F03">
                  <w:t xml:space="preserve"> (1953) for Sadler’s Wells Ballet. </w:t>
                </w:r>
              </w:p>
            </w:tc>
          </w:sdtContent>
        </w:sdt>
      </w:tr>
      <w:tr w:rsidR="003F0D73" w14:paraId="3F67E6DB" w14:textId="77777777" w:rsidTr="003F0D73">
        <w:sdt>
          <w:sdtPr>
            <w:alias w:val="Article text"/>
            <w:tag w:val="articleText"/>
            <w:id w:val="634067588"/>
            <w:placeholder>
              <w:docPart w:val="1910CD0C29DB2147B6D5CE6907499975"/>
            </w:placeholder>
          </w:sdtPr>
          <w:sdtContent>
            <w:tc>
              <w:tcPr>
                <w:tcW w:w="9016" w:type="dxa"/>
                <w:tcMar>
                  <w:top w:w="113" w:type="dxa"/>
                  <w:bottom w:w="113" w:type="dxa"/>
                </w:tcMar>
              </w:tcPr>
              <w:p w14:paraId="09819162" w14:textId="77777777" w:rsidR="00E45FB5" w:rsidRPr="00BF6F03" w:rsidRDefault="00E45FB5" w:rsidP="00E45FB5">
                <w:proofErr w:type="spellStart"/>
                <w:r w:rsidRPr="00BF6F03">
                  <w:t>Andrée</w:t>
                </w:r>
                <w:proofErr w:type="spellEnd"/>
                <w:r w:rsidRPr="00BF6F03">
                  <w:t xml:space="preserve"> Howard belonged to a group of British choreographers, including Frederick Ashton and Antony Tudor, who began their careers with the Polish-born Marie </w:t>
                </w:r>
                <w:proofErr w:type="spellStart"/>
                <w:r w:rsidRPr="00BF6F03">
                  <w:t>Ramber</w:t>
                </w:r>
                <w:r w:rsidR="00BE5707">
                  <w:t>t</w:t>
                </w:r>
                <w:proofErr w:type="spellEnd"/>
                <w:r w:rsidR="00BE5707">
                  <w:t xml:space="preserve">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rsidR="00BE5707">
                  <w:t>of abstract and narrative forms and</w:t>
                </w:r>
                <w:r w:rsidRPr="00BF6F03">
                  <w:t xml:space="preserve"> a witty penchant for comedy, and her styles ranged from lyrical and poetic to strikingly theatrical. During the 1930s and 1940s</w:t>
                </w:r>
                <w:r>
                  <w:t>,</w:t>
                </w:r>
                <w:r w:rsidRPr="00BF6F03">
                  <w:t xml:space="preserve"> Howard danced with, and created many ballets for</w:t>
                </w:r>
                <w:r w:rsidR="00BE5707">
                  <w:t>,</w:t>
                </w:r>
                <w:r w:rsidRPr="00BF6F03">
                  <w:t xml:space="preserve"> </w:t>
                </w:r>
                <w:proofErr w:type="spellStart"/>
                <w:r w:rsidRPr="00BF6F03">
                  <w:t>Rambert’s</w:t>
                </w:r>
                <w:proofErr w:type="spellEnd"/>
                <w:r w:rsidRPr="00BF6F03">
                  <w:t xml:space="preserve"> Ballet Club and the Ballet </w:t>
                </w:r>
                <w:proofErr w:type="spellStart"/>
                <w:r w:rsidRPr="00BF6F03">
                  <w:t>Rambert</w:t>
                </w:r>
                <w:proofErr w:type="spellEnd"/>
                <w:r w:rsidRPr="00BF6F03">
                  <w:t xml:space="preserve"> company. She found artistic collaboration within the intimate atmosphere of a small group most congenia</w:t>
                </w:r>
                <w:r w:rsidR="00BE5707">
                  <w:t>l,</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 xml:space="preserve">La Fête </w:t>
                </w:r>
                <w:proofErr w:type="spellStart"/>
                <w:r w:rsidRPr="00BF6F03">
                  <w:rPr>
                    <w:i/>
                  </w:rPr>
                  <w:t>étrange</w:t>
                </w:r>
                <w:proofErr w:type="spellEnd"/>
                <w:r w:rsidRPr="00BF6F03">
                  <w:t xml:space="preserve"> (</w:t>
                </w:r>
                <w:r w:rsidRPr="00BF6F03">
                  <w:rPr>
                    <w:i/>
                  </w:rPr>
                  <w:t>The Strange Celebration</w:t>
                </w:r>
                <w:r w:rsidRPr="00BF6F03">
                  <w:t xml:space="preserve">, 1940), although she did not exclusively work in this medium. She also produced pure dance works throughout her career, including </w:t>
                </w:r>
                <w:r w:rsidRPr="00BF6F03">
                  <w:rPr>
                    <w:i/>
                  </w:rPr>
                  <w:t>Assembly Ball</w:t>
                </w:r>
                <w:r w:rsidRPr="00BF6F03">
                  <w:t xml:space="preserve"> (1946) and </w:t>
                </w:r>
                <w:proofErr w:type="spellStart"/>
                <w:r w:rsidRPr="00BF6F03">
                  <w:rPr>
                    <w:i/>
                  </w:rPr>
                  <w:t>Veneziana</w:t>
                </w:r>
                <w:proofErr w:type="spellEnd"/>
                <w:r w:rsidRPr="00BF6F03">
                  <w:t xml:space="preserve"> (1953) for Sadler’s Wells Ballet. </w:t>
                </w:r>
              </w:p>
              <w:p w14:paraId="4AB30882" w14:textId="77777777" w:rsidR="00E45FB5" w:rsidRPr="00BF6F03" w:rsidRDefault="00E45FB5" w:rsidP="00E45FB5"/>
              <w:p w14:paraId="515A4E00" w14:textId="77777777" w:rsidR="00E45FB5" w:rsidRPr="00BF6F03" w:rsidRDefault="00E45FB5" w:rsidP="00BE5707">
                <w:pPr>
                  <w:pStyle w:val="Heading1"/>
                  <w:outlineLvl w:val="0"/>
                </w:pPr>
                <w:r w:rsidRPr="00BF6F03">
                  <w:lastRenderedPageBreak/>
                  <w:t>Early Training and Dance Experience</w:t>
                </w:r>
              </w:p>
              <w:p w14:paraId="106F29A0" w14:textId="77777777" w:rsidR="00E45FB5" w:rsidRPr="00BF6F03" w:rsidRDefault="00E45FB5" w:rsidP="00E45FB5">
                <w:r w:rsidRPr="00BF6F03">
                  <w:t xml:space="preserve">Howard’s childhood was full of disruption. She was born in France as Louise Andréa </w:t>
                </w:r>
                <w:proofErr w:type="spellStart"/>
                <w:r w:rsidRPr="00BF6F03">
                  <w:t>Enriqueta</w:t>
                </w:r>
                <w:proofErr w:type="spellEnd"/>
                <w:r w:rsidRPr="00BF6F03">
                  <w:t xml:space="preserve"> </w:t>
                </w:r>
                <w:proofErr w:type="spellStart"/>
                <w:r w:rsidRPr="00BF6F03">
                  <w:t>Sinet</w:t>
                </w:r>
                <w:proofErr w:type="spellEnd"/>
                <w:r w:rsidRPr="00BF6F03">
                  <w:t xml:space="preserve"> to an English mother and French father, but at the age of four was adopted by an English couple, the Howards, and grew up in England. She danced initially under the name Louise Barton (her birth mother’s maiden name was </w:t>
                </w:r>
                <w:proofErr w:type="spellStart"/>
                <w:r w:rsidRPr="00BF6F03">
                  <w:t>Enriqueta</w:t>
                </w:r>
                <w:proofErr w:type="spellEnd"/>
                <w:r w:rsidRPr="00BF6F03">
                  <w:t xml:space="preserve"> Barton)</w:t>
                </w:r>
                <w:r w:rsidR="00BE5707">
                  <w:t>,</w:t>
                </w:r>
                <w:r w:rsidRPr="00BF6F03">
                  <w:t xml:space="preserve"> but later took the surname Howard from her adoptive parents, who had encouraged her artistic talents. She studied with Olga </w:t>
                </w:r>
                <w:proofErr w:type="spellStart"/>
                <w:r w:rsidRPr="00BF6F03">
                  <w:t>Preobrajenska</w:t>
                </w:r>
                <w:proofErr w:type="spellEnd"/>
                <w:r w:rsidRPr="00BF6F03">
                  <w:t xml:space="preserve"> in Paris, and in 1924 began full-time training with </w:t>
                </w:r>
                <w:proofErr w:type="spellStart"/>
                <w:r w:rsidRPr="00BF6F03">
                  <w:t>Rambert</w:t>
                </w:r>
                <w:proofErr w:type="spellEnd"/>
                <w:r w:rsidRPr="00BF6F03">
                  <w:t xml:space="preserve">, giving her first performance with </w:t>
                </w:r>
                <w:proofErr w:type="spellStart"/>
                <w:r w:rsidRPr="00BF6F03">
                  <w:t>Rambert’s</w:t>
                </w:r>
                <w:proofErr w:type="spellEnd"/>
                <w:r w:rsidRPr="00BF6F03">
                  <w:t xml:space="preserve"> Ballet Club in 1927. A brief spell with the Ballets </w:t>
                </w:r>
                <w:proofErr w:type="spellStart"/>
                <w:r w:rsidRPr="00BF6F03">
                  <w:t>Russes</w:t>
                </w:r>
                <w:proofErr w:type="spellEnd"/>
                <w:r w:rsidRPr="00BF6F03">
                  <w:t xml:space="preserve"> de Monte Carlo in 1932-3 gave her first-hand experience of the work of </w:t>
                </w:r>
                <w:proofErr w:type="spellStart"/>
                <w:r w:rsidRPr="00BF6F03">
                  <w:t>Léonide</w:t>
                </w:r>
                <w:proofErr w:type="spellEnd"/>
                <w:r w:rsidRPr="00BF6F03">
                  <w:t xml:space="preserve"> Massine (she danced in the premiere of Massine’s </w:t>
                </w:r>
                <w:r w:rsidRPr="00BF6F03">
                  <w:rPr>
                    <w:i/>
                  </w:rPr>
                  <w:t xml:space="preserve">Les </w:t>
                </w:r>
                <w:proofErr w:type="spellStart"/>
                <w:r w:rsidRPr="00BF6F03">
                  <w:rPr>
                    <w:i/>
                  </w:rPr>
                  <w:t>Présages</w:t>
                </w:r>
                <w:proofErr w:type="spellEnd"/>
                <w:r>
                  <w:t xml:space="preserve"> </w:t>
                </w:r>
                <w:r w:rsidRPr="00BF6F03">
                  <w:t xml:space="preserve">in 1933) and </w:t>
                </w:r>
                <w:proofErr w:type="spellStart"/>
                <w:r w:rsidRPr="00BF6F03">
                  <w:t>Bronislava</w:t>
                </w:r>
                <w:proofErr w:type="spellEnd"/>
                <w:r w:rsidRPr="00BF6F03">
                  <w:t xml:space="preserve"> </w:t>
                </w:r>
                <w:proofErr w:type="spellStart"/>
                <w:r w:rsidRPr="00BF6F03">
                  <w:t>Nijinska</w:t>
                </w:r>
                <w:proofErr w:type="spellEnd"/>
                <w:r w:rsidRPr="00BF6F03">
                  <w:t xml:space="preserve">, both of whom influenced her later choreography. </w:t>
                </w:r>
              </w:p>
              <w:p w14:paraId="139C8784" w14:textId="77777777" w:rsidR="00E45FB5" w:rsidRPr="00BF6F03" w:rsidRDefault="00E45FB5" w:rsidP="00E45FB5"/>
              <w:p w14:paraId="770782C1" w14:textId="77777777" w:rsidR="00E45FB5" w:rsidRPr="00BF6F03" w:rsidRDefault="00E45FB5" w:rsidP="00E45FB5">
                <w:r w:rsidRPr="00BF6F03">
                  <w:t xml:space="preserve">Howard had a distinguished career as a dancer as well as a choreographer. She performed both classical roles – including the Bluebird </w:t>
                </w:r>
                <w:r w:rsidRPr="00BF6F03">
                  <w:rPr>
                    <w:i/>
                  </w:rPr>
                  <w:t xml:space="preserve">pas de </w:t>
                </w:r>
                <w:proofErr w:type="spellStart"/>
                <w:r w:rsidRPr="00BF6F03">
                  <w:rPr>
                    <w:i/>
                  </w:rPr>
                  <w:t>deux</w:t>
                </w:r>
                <w:proofErr w:type="spellEnd"/>
                <w:r w:rsidRPr="00BF6F03">
                  <w:t xml:space="preserve"> and the Diamond Fairy variation from </w:t>
                </w:r>
                <w:r w:rsidRPr="00BF6F03">
                  <w:rPr>
                    <w:i/>
                  </w:rPr>
                  <w:t>Aurora’s Wedding</w:t>
                </w:r>
                <w:r w:rsidRPr="00BF6F03">
                  <w:t xml:space="preserve"> (1922), and </w:t>
                </w:r>
                <w:proofErr w:type="spellStart"/>
                <w:r w:rsidRPr="00BF6F03">
                  <w:t>Papillon</w:t>
                </w:r>
                <w:proofErr w:type="spellEnd"/>
                <w:r w:rsidRPr="00BF6F03">
                  <w:t xml:space="preserve"> in Fokine’s </w:t>
                </w:r>
                <w:proofErr w:type="spellStart"/>
                <w:r w:rsidRPr="00BF6F03">
                  <w:rPr>
                    <w:i/>
                  </w:rPr>
                  <w:t>Carnaval</w:t>
                </w:r>
                <w:proofErr w:type="spellEnd"/>
                <w:r w:rsidRPr="00BF6F03">
                  <w:t xml:space="preserve"> (1910) – and contemporary ones. She frequently danced in new </w:t>
                </w:r>
                <w:proofErr w:type="spellStart"/>
                <w:r w:rsidRPr="00BF6F03">
                  <w:t>Rambert</w:t>
                </w:r>
                <w:proofErr w:type="spellEnd"/>
                <w:r w:rsidRPr="00BF6F03">
                  <w:t xml:space="preserve"> productions, including her own ballets; in 1932 Ashton created a solo, </w:t>
                </w:r>
                <w:proofErr w:type="spellStart"/>
                <w:r w:rsidRPr="00BF6F03">
                  <w:rPr>
                    <w:i/>
                  </w:rPr>
                  <w:t>Pompette</w:t>
                </w:r>
                <w:proofErr w:type="spellEnd"/>
                <w:r w:rsidRPr="00BF6F03">
                  <w:t xml:space="preserve"> for her, and in 1938 she took over the role of the Fourth Song in Tudor’s </w:t>
                </w:r>
                <w:r w:rsidRPr="00BF6F03">
                  <w:rPr>
                    <w:i/>
                  </w:rPr>
                  <w:t>Dark Elegies</w:t>
                </w:r>
                <w:r w:rsidRPr="00BF6F03">
                  <w:t xml:space="preserve"> (1937) when Agnes de Mille, who originated the role, returned to the United States.</w:t>
                </w:r>
              </w:p>
              <w:p w14:paraId="763021F7" w14:textId="77777777" w:rsidR="00E45FB5" w:rsidRPr="00BF6F03" w:rsidRDefault="00E45FB5" w:rsidP="00E45FB5"/>
              <w:p w14:paraId="2F940AAD" w14:textId="77777777" w:rsidR="00E45FB5" w:rsidRPr="00BF6F03" w:rsidRDefault="00E45FB5" w:rsidP="00BE5707">
                <w:pPr>
                  <w:pStyle w:val="Heading1"/>
                  <w:outlineLvl w:val="0"/>
                </w:pPr>
                <w:r w:rsidRPr="00BF6F03">
                  <w:t>Major Contributions to the Field and to Modernism</w:t>
                </w:r>
              </w:p>
              <w:p w14:paraId="5D6A51C2" w14:textId="77777777" w:rsidR="00E45FB5" w:rsidRPr="00BF6F03" w:rsidRDefault="00E45FB5" w:rsidP="00E45FB5">
                <w:r w:rsidRPr="00BF6F03">
                  <w:t xml:space="preserve">Although Howard extended the existing boundaries of narrative ballet, she began by choreographing solos and divertissements. However, in 1933, when she produced a new version of Susan </w:t>
                </w:r>
                <w:proofErr w:type="spellStart"/>
                <w:r w:rsidRPr="00BF6F03">
                  <w:t>Salaman’s</w:t>
                </w:r>
                <w:proofErr w:type="spellEnd"/>
                <w:r w:rsidRPr="00BF6F03">
                  <w:t xml:space="preserve"> 1930 ballet </w:t>
                </w:r>
                <w:r w:rsidRPr="00BF6F03">
                  <w:rPr>
                    <w:i/>
                  </w:rPr>
                  <w:t>Our Lady’s Juggler</w:t>
                </w:r>
                <w:r w:rsidRPr="00BF6F03">
                  <w:t xml:space="preserve"> for </w:t>
                </w:r>
                <w:proofErr w:type="spellStart"/>
                <w:r w:rsidRPr="00BF6F03">
                  <w:t>Rambert</w:t>
                </w:r>
                <w:proofErr w:type="spellEnd"/>
                <w:r w:rsidRPr="00BF6F03">
                  <w:t xml:space="preserve">, Howard’s gift for dramatic form was immediately evident. Equally evident was her gift her creating ‘non-human’ characters, </w:t>
                </w:r>
                <w:r w:rsidR="00BE5707">
                  <w:t>in the form of animals, birds</w:t>
                </w:r>
                <w:r w:rsidRPr="00BF6F03">
                  <w:t xml:space="preserve"> and insects</w:t>
                </w:r>
                <w:r w:rsidR="00BE5707">
                  <w:t>,</w:t>
                </w:r>
                <w:r w:rsidRPr="00BF6F03">
                  <w:t xml:space="preserve"> who figure in so many of her ballets, including </w:t>
                </w:r>
                <w:r w:rsidRPr="00BF6F03">
                  <w:rPr>
                    <w:i/>
                  </w:rPr>
                  <w:t>Lady into Fox</w:t>
                </w:r>
                <w:r w:rsidRPr="00BF6F03">
                  <w:t xml:space="preserve"> (1939) </w:t>
                </w:r>
                <w:r w:rsidRPr="00BF6F03">
                  <w:rPr>
                    <w:i/>
                  </w:rPr>
                  <w:t>Carnival of Animals</w:t>
                </w:r>
                <w:r w:rsidRPr="00BF6F03">
                  <w:t xml:space="preserve"> (1943) and </w:t>
                </w:r>
                <w:r w:rsidRPr="00BF6F03">
                  <w:rPr>
                    <w:i/>
                  </w:rPr>
                  <w:t xml:space="preserve">Le </w:t>
                </w:r>
                <w:proofErr w:type="spellStart"/>
                <w:r w:rsidRPr="00BF6F03">
                  <w:rPr>
                    <w:i/>
                  </w:rPr>
                  <w:t>Festin</w:t>
                </w:r>
                <w:proofErr w:type="spellEnd"/>
                <w:r w:rsidRPr="00BF6F03">
                  <w:rPr>
                    <w:i/>
                  </w:rPr>
                  <w:t xml:space="preserve"> </w:t>
                </w:r>
                <w:proofErr w:type="spellStart"/>
                <w:r w:rsidRPr="00BF6F03">
                  <w:rPr>
                    <w:i/>
                  </w:rPr>
                  <w:t>d’airaignée</w:t>
                </w:r>
                <w:proofErr w:type="spellEnd"/>
                <w:r w:rsidRPr="00BF6F03">
                  <w:t xml:space="preserve"> (</w:t>
                </w:r>
                <w:r w:rsidRPr="00BF6F03">
                  <w:rPr>
                    <w:i/>
                  </w:rPr>
                  <w:t>The Spider’s Banquet</w:t>
                </w:r>
                <w:r w:rsidRPr="00BF6F03">
                  <w:t>, 1944).</w:t>
                </w:r>
              </w:p>
              <w:p w14:paraId="52CF612F" w14:textId="77777777" w:rsidR="00E45FB5" w:rsidRPr="00BF6F03" w:rsidRDefault="00E45FB5" w:rsidP="00E45FB5"/>
              <w:p w14:paraId="78D01C84" w14:textId="77777777" w:rsidR="00E45FB5" w:rsidRPr="00BF6F03" w:rsidRDefault="00E45FB5" w:rsidP="00E45FB5">
                <w:r w:rsidRPr="00BF6F03">
                  <w:t xml:space="preserve">Apart from Ballet </w:t>
                </w:r>
                <w:proofErr w:type="spellStart"/>
                <w:r w:rsidRPr="00BF6F03">
                  <w:t>Rambert</w:t>
                </w:r>
                <w:proofErr w:type="spellEnd"/>
                <w:r w:rsidRPr="00BF6F03">
                  <w:t xml:space="preserve">, Howard worked with many groups and companies including the Camargo Society, London Ballet, Ballet Theatre, Sadler’s Wells, London Festival Ballet (for whom she contributed choreography for a notable production of the </w:t>
                </w:r>
                <w:r w:rsidRPr="00BF6F03">
                  <w:rPr>
                    <w:i/>
                  </w:rPr>
                  <w:t>Nutcracker</w:t>
                </w:r>
                <w:r w:rsidRPr="00BF6F03">
                  <w:t xml:space="preserve"> in 1965) and the Turkish State Ballet. She also worked in the commercial theatre and for television, and between 1936 and 1939 </w:t>
                </w:r>
                <w:r w:rsidR="00BE5707">
                  <w:t xml:space="preserve">she </w:t>
                </w:r>
                <w:r w:rsidRPr="00BF6F03">
                  <w:t>choreographed plays for Birmingham Repertory Company, where she was well known as choreographer, dancer and designer. In 1937, a year after the release of the Reinhardt-</w:t>
                </w:r>
                <w:proofErr w:type="spellStart"/>
                <w:r w:rsidRPr="00BF6F03">
                  <w:t>Nijinska</w:t>
                </w:r>
                <w:proofErr w:type="spellEnd"/>
                <w:r w:rsidRPr="00BF6F03">
                  <w:t xml:space="preserve"> Hollywood film of </w:t>
                </w:r>
                <w:r w:rsidRPr="00BF6F03">
                  <w:rPr>
                    <w:i/>
                  </w:rPr>
                  <w:t>A Midsummer Night’s Dream</w:t>
                </w:r>
                <w:r w:rsidRPr="00BF6F03">
                  <w:t xml:space="preserve">, Howard contributed to the choreography and production of this play in Birmingham.  Other notable contributions to drama included her choreography for </w:t>
                </w:r>
                <w:r w:rsidRPr="00BF6F03">
                  <w:rPr>
                    <w:i/>
                  </w:rPr>
                  <w:t>Romeo and Juliet</w:t>
                </w:r>
                <w:r w:rsidRPr="00BF6F03">
                  <w:t xml:space="preserve"> (1939), directed by Tyrone Guthrie, and for the 1944 Old Vic Company production of </w:t>
                </w:r>
                <w:r w:rsidRPr="00BF6F03">
                  <w:rPr>
                    <w:i/>
                  </w:rPr>
                  <w:t>The Tragedy of Doctor Faustus</w:t>
                </w:r>
                <w:r w:rsidRPr="00BF6F03">
                  <w:t>.</w:t>
                </w:r>
              </w:p>
              <w:p w14:paraId="62E2E8FD" w14:textId="77777777" w:rsidR="00E45FB5" w:rsidRPr="00BF6F03" w:rsidRDefault="00E45FB5" w:rsidP="00E45FB5"/>
              <w:p w14:paraId="361127A0" w14:textId="77777777" w:rsidR="00E45FB5" w:rsidRPr="00BF6F03" w:rsidRDefault="00E45FB5" w:rsidP="00E45FB5">
                <w:r w:rsidRPr="00BF6F03">
                  <w:t xml:space="preserve">Howard’s literary sensibility was profound, and she frequently transposed literary works into dance form, as in her early comic piece inspired by Alexander Pope’s </w:t>
                </w:r>
                <w:r w:rsidRPr="00BF6F03">
                  <w:rPr>
                    <w:i/>
                  </w:rPr>
                  <w:t>Rape of the Lock</w:t>
                </w:r>
                <w:r w:rsidRPr="00BF6F03">
                  <w:t xml:space="preserve"> (1935). In several more serious narrative ballets</w:t>
                </w:r>
                <w:r>
                  <w:t>,</w:t>
                </w:r>
                <w:r w:rsidRPr="00BF6F03">
                  <w:t xml:space="preserve"> Howard often returned to the theme of an abandoned woman, isolated by social and patriarchal forces, where the dissemination of narrative through choreographed movement principally charts the inner conflict of the female protagonist. Sometimes her approach favoured a more poetically abstract style, as in </w:t>
                </w:r>
                <w:r w:rsidRPr="00BF6F03">
                  <w:rPr>
                    <w:i/>
                  </w:rPr>
                  <w:t>Death and the Maiden</w:t>
                </w:r>
                <w:r w:rsidRPr="00BF6F03">
                  <w:t xml:space="preserve"> (1937), but often her work was strictly narrative in a generic sense. She achieved critical recognition with </w:t>
                </w:r>
                <w:r w:rsidRPr="00BF6F03">
                  <w:rPr>
                    <w:i/>
                  </w:rPr>
                  <w:t>Lady into Fox</w:t>
                </w:r>
                <w:r w:rsidRPr="00BF6F03">
                  <w:t xml:space="preserve">, based on a 1922 novel by David Garnett, with music by Arthur Honegger and designs by Nadia </w:t>
                </w:r>
                <w:proofErr w:type="spellStart"/>
                <w:r w:rsidRPr="00BF6F03">
                  <w:t>Benois</w:t>
                </w:r>
                <w:proofErr w:type="spellEnd"/>
                <w:r w:rsidRPr="00BF6F03">
                  <w:t>. This was a contemporary ‘</w:t>
                </w:r>
                <w:proofErr w:type="spellStart"/>
                <w:r w:rsidRPr="00BF6F03">
                  <w:t>Ovidian</w:t>
                </w:r>
                <w:proofErr w:type="spellEnd"/>
                <w:r w:rsidRPr="00BF6F03">
                  <w:t xml:space="preserve">’ metamorphosis in which an Edwardian wife, trapped in a life of oppressive social formality, prefers to occupy the pastoral rather than the domestic realm, becoming the fox of the title. </w:t>
                </w:r>
              </w:p>
              <w:p w14:paraId="4B29E650" w14:textId="77777777" w:rsidR="00E45FB5" w:rsidRPr="00BF6F03" w:rsidRDefault="00E45FB5" w:rsidP="00E45FB5"/>
              <w:p w14:paraId="217565F4" w14:textId="77777777" w:rsidR="00E45FB5" w:rsidRPr="00BF6F03" w:rsidRDefault="00E45FB5" w:rsidP="00E45FB5">
                <w:r w:rsidRPr="00BF6F03">
                  <w:t xml:space="preserve">Howard travelled with Tudor to New York in 1939 to stage and to dance the leading roles in </w:t>
                </w:r>
                <w:r w:rsidRPr="00BF6F03">
                  <w:rPr>
                    <w:i/>
                  </w:rPr>
                  <w:t>Lady into Fox</w:t>
                </w:r>
                <w:r w:rsidRPr="00BF6F03">
                  <w:t xml:space="preserve"> and </w:t>
                </w:r>
                <w:r w:rsidRPr="00BF6F03">
                  <w:rPr>
                    <w:i/>
                  </w:rPr>
                  <w:t>Death and the Maiden</w:t>
                </w:r>
                <w:r w:rsidRPr="00BF6F03">
                  <w:t xml:space="preserve"> for Ballet Theatre’s debut season in 1940. </w:t>
                </w:r>
                <w:r>
                  <w:t>S</w:t>
                </w:r>
                <w:r w:rsidRPr="00BF6F03">
                  <w:t xml:space="preserve">he returned to Britain </w:t>
                </w:r>
                <w:r>
                  <w:t xml:space="preserve">that same year </w:t>
                </w:r>
                <w:r w:rsidRPr="00BF6F03">
                  <w:t xml:space="preserve">to choreograph </w:t>
                </w:r>
                <w:r w:rsidRPr="00BF6F03">
                  <w:rPr>
                    <w:i/>
                  </w:rPr>
                  <w:t xml:space="preserve">La Fête </w:t>
                </w:r>
                <w:proofErr w:type="spellStart"/>
                <w:r w:rsidRPr="00BF6F03">
                  <w:rPr>
                    <w:i/>
                  </w:rPr>
                  <w:t>étrange</w:t>
                </w:r>
                <w:proofErr w:type="spellEnd"/>
                <w:r w:rsidRPr="00BF6F03">
                  <w:t xml:space="preserve"> for the London Ballet, with Maude Lloyd in the principal role. Using music by Gabriel </w:t>
                </w:r>
                <w:proofErr w:type="spellStart"/>
                <w:r w:rsidRPr="00BF6F03">
                  <w:t>Fauré</w:t>
                </w:r>
                <w:proofErr w:type="spellEnd"/>
                <w:r w:rsidRPr="00BF6F03">
                  <w:t xml:space="preserve"> and designs by Sophie </w:t>
                </w:r>
                <w:proofErr w:type="spellStart"/>
                <w:r w:rsidRPr="00BF6F03">
                  <w:t>Fedorovitch</w:t>
                </w:r>
                <w:proofErr w:type="spellEnd"/>
                <w:r w:rsidRPr="00BF6F03">
                  <w:t xml:space="preserve">, Howard developed this work from Ronald Crichton’s idea to use a scenario based on an incident in Henri Alain-Fournier’s 1913 novella, </w:t>
                </w:r>
                <w:r w:rsidRPr="00BF6F03">
                  <w:rPr>
                    <w:i/>
                  </w:rPr>
                  <w:t xml:space="preserve">Le Grand </w:t>
                </w:r>
                <w:proofErr w:type="spellStart"/>
                <w:r w:rsidRPr="00BF6F03">
                  <w:rPr>
                    <w:i/>
                  </w:rPr>
                  <w:t>Meaulnes</w:t>
                </w:r>
                <w:proofErr w:type="spellEnd"/>
                <w:r w:rsidRPr="00BF6F03">
                  <w:t xml:space="preserve"> (</w:t>
                </w:r>
                <w:r w:rsidRPr="00BF6F03">
                  <w:rPr>
                    <w:i/>
                  </w:rPr>
                  <w:t xml:space="preserve">The Great </w:t>
                </w:r>
                <w:proofErr w:type="spellStart"/>
                <w:r w:rsidRPr="00BF6F03">
                  <w:rPr>
                    <w:i/>
                  </w:rPr>
                  <w:t>Meaulnes</w:t>
                </w:r>
                <w:proofErr w:type="spellEnd"/>
                <w:r w:rsidRPr="00BF6F03">
                  <w:t xml:space="preserve">). Howard produced an atmospheric and poetic ballet presenting a bride’s internal discord as she enters upon marriage. </w:t>
                </w:r>
                <w:r w:rsidRPr="00BF6F03">
                  <w:rPr>
                    <w:i/>
                  </w:rPr>
                  <w:t>Fête</w:t>
                </w:r>
                <w:r w:rsidRPr="00BF6F03">
                  <w:t xml:space="preserve"> became the most distinguished ballet of Howard’s career, and was revived by several companies including Sadler’s Wells (1947), the Scottish Ballet (1971) and the Royal Ballet, first in 1958, when the part of the Bride was a notable vehicle for Svetlana </w:t>
                </w:r>
                <w:proofErr w:type="spellStart"/>
                <w:r w:rsidRPr="00BF6F03">
                  <w:t>Beriosova</w:t>
                </w:r>
                <w:proofErr w:type="spellEnd"/>
                <w:r w:rsidRPr="00BF6F03">
                  <w:t xml:space="preserve">, and then in 2005 with Darcy </w:t>
                </w:r>
                <w:proofErr w:type="spellStart"/>
                <w:r w:rsidRPr="00BF6F03">
                  <w:t>Bussell</w:t>
                </w:r>
                <w:proofErr w:type="spellEnd"/>
                <w:r w:rsidRPr="00BF6F03">
                  <w:t xml:space="preserve"> as the Bride. </w:t>
                </w:r>
              </w:p>
              <w:p w14:paraId="2FD501C8" w14:textId="77777777" w:rsidR="00E45FB5" w:rsidRPr="00BF6F03" w:rsidRDefault="00E45FB5" w:rsidP="00E45FB5"/>
              <w:p w14:paraId="19B21BB8" w14:textId="77777777" w:rsidR="00E45FB5" w:rsidRPr="00BF6F03" w:rsidRDefault="00E45FB5" w:rsidP="00E45FB5">
                <w:r w:rsidRPr="00BF6F03">
                  <w:t xml:space="preserve">Howard followed the success of </w:t>
                </w:r>
                <w:r w:rsidRPr="00BF6F03">
                  <w:rPr>
                    <w:i/>
                  </w:rPr>
                  <w:t>Fête</w:t>
                </w:r>
                <w:r w:rsidRPr="00BF6F03">
                  <w:t xml:space="preserve"> with further ballets on literary or narrative themes, such as </w:t>
                </w:r>
                <w:r w:rsidRPr="00BF6F03">
                  <w:rPr>
                    <w:i/>
                  </w:rPr>
                  <w:t>Twelfth Night</w:t>
                </w:r>
                <w:r w:rsidRPr="00BF6F03">
                  <w:t xml:space="preserve"> (1942) for Mona </w:t>
                </w:r>
                <w:proofErr w:type="spellStart"/>
                <w:r w:rsidRPr="00BF6F03">
                  <w:t>Inglesby’s</w:t>
                </w:r>
                <w:proofErr w:type="spellEnd"/>
                <w:r w:rsidRPr="00BF6F03">
                  <w:t xml:space="preserve"> International Ballet and </w:t>
                </w:r>
                <w:r w:rsidRPr="00BF6F03">
                  <w:rPr>
                    <w:i/>
                  </w:rPr>
                  <w:t>The Fugitive</w:t>
                </w:r>
                <w:r w:rsidRPr="00BF6F03">
                  <w:t xml:space="preserve"> (1944) for Ballet </w:t>
                </w:r>
                <w:proofErr w:type="spellStart"/>
                <w:r w:rsidRPr="00BF6F03">
                  <w:t>Rambert</w:t>
                </w:r>
                <w:proofErr w:type="spellEnd"/>
                <w:r w:rsidRPr="00BF6F03">
                  <w:t xml:space="preserve">. With </w:t>
                </w:r>
                <w:r w:rsidRPr="00BF6F03">
                  <w:rPr>
                    <w:i/>
                  </w:rPr>
                  <w:t>The Sailor’s Return</w:t>
                </w:r>
                <w:r w:rsidRPr="00BF6F03">
                  <w:t xml:space="preserve"> for </w:t>
                </w:r>
                <w:proofErr w:type="spellStart"/>
                <w:r w:rsidRPr="00BF6F03">
                  <w:t>Rambert</w:t>
                </w:r>
                <w:proofErr w:type="spellEnd"/>
                <w:r w:rsidRPr="00BF6F03">
                  <w:t xml:space="preserve"> in 1947 she again </w:t>
                </w:r>
                <w:proofErr w:type="spellStart"/>
                <w:r w:rsidRPr="00BF6F03">
                  <w:t>dramatised</w:t>
                </w:r>
                <w:proofErr w:type="spellEnd"/>
                <w:r w:rsidRPr="00BF6F03">
                  <w:t xml:space="preserve"> a 1925 Garnett novel, and in </w:t>
                </w:r>
                <w:r w:rsidRPr="00BF6F03">
                  <w:rPr>
                    <w:i/>
                  </w:rPr>
                  <w:t>A Mirror for Witches</w:t>
                </w:r>
                <w:r w:rsidRPr="00BF6F03">
                  <w:t xml:space="preserve"> (1952), for Sadler’s Wells, she used Ester Forbes’s 1928 novel of the same title – a fictional precursor of Arthur Miller’s play </w:t>
                </w:r>
                <w:r w:rsidRPr="00BF6F03">
                  <w:rPr>
                    <w:i/>
                  </w:rPr>
                  <w:t>The Crucible</w:t>
                </w:r>
                <w:r w:rsidRPr="00BF6F03">
                  <w:t xml:space="preserve"> (1952). Howard’s discrete but evocative transmission of the literary into the choreographed through corporeal expression, without recourse to histrionic effects, was both modernist in its emphasis on expressing interiority and pioneering in its sensitivity to the reciprocal relationship between literature and dance. </w:t>
                </w:r>
              </w:p>
              <w:p w14:paraId="60DE0EF3" w14:textId="77777777" w:rsidR="00E45FB5" w:rsidRPr="00BF6F03" w:rsidRDefault="00E45FB5" w:rsidP="00E45FB5"/>
              <w:p w14:paraId="41F06774" w14:textId="77777777" w:rsidR="00E45FB5" w:rsidRPr="00BF6F03" w:rsidRDefault="00E45FB5" w:rsidP="00E45FB5">
                <w:r w:rsidRPr="00BF6F03">
                  <w:t xml:space="preserve">Howard made a frequently overlooked contribution to costume and stage design. </w:t>
                </w:r>
                <w:r w:rsidRPr="00BF6F03">
                  <w:rPr>
                    <w:i/>
                  </w:rPr>
                  <w:t>Mermaid</w:t>
                </w:r>
                <w:r w:rsidRPr="00BF6F03">
                  <w:t xml:space="preserve"> (1934, with Susan </w:t>
                </w:r>
                <w:proofErr w:type="spellStart"/>
                <w:r w:rsidRPr="00BF6F03">
                  <w:t>Salaman</w:t>
                </w:r>
                <w:proofErr w:type="spellEnd"/>
                <w:r w:rsidRPr="00BF6F03">
                  <w:t xml:space="preserve">) set a precedent for Howard’s practice of designing for her own work, and her innovative sense of scenic ‘transformation’ in this ballet, based on Hans Christian Anderson’s fairy tale, anticipates later twentieth-century experimentation in British stage design. Her scenery for the </w:t>
                </w:r>
                <w:r w:rsidRPr="00BF6F03">
                  <w:rPr>
                    <w:i/>
                  </w:rPr>
                  <w:t>Sailor’s Return</w:t>
                </w:r>
                <w:r w:rsidRPr="00BF6F03">
                  <w:t xml:space="preserve"> (which moved from a West African jungle to a Victorian Dorset village), like her careful manuscript instructions to Norman Adam, who designed </w:t>
                </w:r>
                <w:r w:rsidRPr="00BF6F03">
                  <w:rPr>
                    <w:i/>
                  </w:rPr>
                  <w:t>A Mirror for Witches</w:t>
                </w:r>
                <w:r w:rsidRPr="00BF6F03">
                  <w:t xml:space="preserve"> (explaining the dream-like flight of the heroine between a domestic and woodland environment), illustrated Howard’s striking versatility in manipulating the modern stage space. With her </w:t>
                </w:r>
                <w:proofErr w:type="spellStart"/>
                <w:r w:rsidRPr="00BF6F03">
                  <w:t>Rambert</w:t>
                </w:r>
                <w:proofErr w:type="spellEnd"/>
                <w:r w:rsidRPr="00BF6F03">
                  <w:t xml:space="preserve"> colleague, William Chappell, whose designs for ballet were exhibited in 1993 alongside the work of </w:t>
                </w:r>
                <w:proofErr w:type="spellStart"/>
                <w:r w:rsidRPr="00BF6F03">
                  <w:t>Fedorovitch</w:t>
                </w:r>
                <w:proofErr w:type="spellEnd"/>
                <w:r w:rsidRPr="00BF6F03">
                  <w:t xml:space="preserve">, John Piper and David </w:t>
                </w:r>
                <w:proofErr w:type="spellStart"/>
                <w:r w:rsidRPr="00BF6F03">
                  <w:t>Hockney</w:t>
                </w:r>
                <w:proofErr w:type="spellEnd"/>
                <w:r w:rsidRPr="00BF6F03">
                  <w:t xml:space="preserve">, Howard deserves recognition as a </w:t>
                </w:r>
                <w:proofErr w:type="spellStart"/>
                <w:r w:rsidRPr="00BF6F03">
                  <w:t>Rambert</w:t>
                </w:r>
                <w:proofErr w:type="spellEnd"/>
                <w:r w:rsidRPr="00BF6F03">
                  <w:t xml:space="preserve"> dancer who contributed innovative design to British dance.</w:t>
                </w:r>
              </w:p>
              <w:p w14:paraId="3EBDAB8D" w14:textId="77777777" w:rsidR="00E45FB5" w:rsidRPr="00BF6F03" w:rsidRDefault="00E45FB5" w:rsidP="00E45FB5"/>
              <w:p w14:paraId="0D6B14F8" w14:textId="77777777" w:rsidR="00E45FB5" w:rsidRPr="00BF6F03" w:rsidRDefault="00E45FB5" w:rsidP="00BE5707">
                <w:pPr>
                  <w:pStyle w:val="Heading1"/>
                  <w:outlineLvl w:val="0"/>
                </w:pPr>
                <w:r w:rsidRPr="00BF6F03">
                  <w:t>Legacy</w:t>
                </w:r>
              </w:p>
              <w:p w14:paraId="60103247" w14:textId="77777777" w:rsidR="00E45FB5" w:rsidRPr="00BF6F03" w:rsidRDefault="00E45FB5" w:rsidP="00E45FB5">
                <w:r w:rsidRPr="00BF6F03">
                  <w:t>Howard’s choreographic influence on others was implicit rather than overt. Less well</w:t>
                </w:r>
                <w:r w:rsidR="00BE5707">
                  <w:t xml:space="preserve"> </w:t>
                </w:r>
                <w:r w:rsidRPr="00BF6F03">
                  <w:t xml:space="preserve">known than Tudor, Howard choreographed </w:t>
                </w:r>
                <w:r w:rsidRPr="00BF6F03">
                  <w:rPr>
                    <w:i/>
                  </w:rPr>
                  <w:t xml:space="preserve">La Fête </w:t>
                </w:r>
                <w:proofErr w:type="spellStart"/>
                <w:r w:rsidRPr="00BF6F03">
                  <w:rPr>
                    <w:i/>
                  </w:rPr>
                  <w:t>êtrange</w:t>
                </w:r>
                <w:proofErr w:type="spellEnd"/>
                <w:r w:rsidRPr="00BF6F03">
                  <w:t xml:space="preserve"> with equal subtlety as Tudor’s </w:t>
                </w:r>
                <w:proofErr w:type="spellStart"/>
                <w:r w:rsidRPr="00BF6F03">
                  <w:rPr>
                    <w:i/>
                  </w:rPr>
                  <w:t>Jardin</w:t>
                </w:r>
                <w:proofErr w:type="spellEnd"/>
                <w:r w:rsidRPr="00BF6F03">
                  <w:rPr>
                    <w:i/>
                  </w:rPr>
                  <w:t xml:space="preserve"> aux </w:t>
                </w:r>
                <w:proofErr w:type="spellStart"/>
                <w:r w:rsidRPr="00BF6F03">
                  <w:rPr>
                    <w:i/>
                  </w:rPr>
                  <w:t>lilas</w:t>
                </w:r>
                <w:proofErr w:type="spellEnd"/>
                <w:r w:rsidRPr="00BF6F03">
                  <w:t xml:space="preserve"> (</w:t>
                </w:r>
                <w:r w:rsidRPr="00BF6F03">
                  <w:rPr>
                    <w:i/>
                  </w:rPr>
                  <w:t>Lilac Garden</w:t>
                </w:r>
                <w:r w:rsidRPr="00BF6F03">
                  <w:t xml:space="preserve">, 1936), and, like Tudor, her work was important for its representation of human psychology. Howard’s distinctive contributions to </w:t>
                </w:r>
                <w:proofErr w:type="spellStart"/>
                <w:r w:rsidRPr="00BF6F03">
                  <w:t>Rambert</w:t>
                </w:r>
                <w:proofErr w:type="spellEnd"/>
                <w:r w:rsidRPr="00BF6F03">
                  <w:t xml:space="preserve"> and Sadler’s Wells companies helped to sustain the context for close literary connections between ballet and drama in Britain, and contributed to a mode of narrative expression in British ballet which continues to this day. Her innovative style, her attention to choreographic detail and precise understanding of female expression through the dancer’s medium has been praised by </w:t>
                </w:r>
                <w:proofErr w:type="spellStart"/>
                <w:r w:rsidRPr="00BF6F03">
                  <w:t>Rambert</w:t>
                </w:r>
                <w:proofErr w:type="spellEnd"/>
                <w:r w:rsidRPr="00BF6F03">
                  <w:t xml:space="preserve">, </w:t>
                </w:r>
                <w:proofErr w:type="spellStart"/>
                <w:r w:rsidRPr="00BF6F03">
                  <w:t>Ninette</w:t>
                </w:r>
                <w:proofErr w:type="spellEnd"/>
                <w:r w:rsidRPr="00BF6F03">
                  <w:t xml:space="preserve"> de Valois, and many others. Amongst her early contemporaries at </w:t>
                </w:r>
                <w:proofErr w:type="spellStart"/>
                <w:r w:rsidRPr="00BF6F03">
                  <w:t>Rambert</w:t>
                </w:r>
                <w:proofErr w:type="spellEnd"/>
                <w:r w:rsidRPr="00BF6F03">
                  <w:t xml:space="preserve">, Frederick Ashton echoes something of her wit as well as her restrained classicism. Moments of Ashton’s </w:t>
                </w:r>
                <w:r w:rsidRPr="00BF6F03">
                  <w:rPr>
                    <w:i/>
                  </w:rPr>
                  <w:t>Cinderella</w:t>
                </w:r>
                <w:r w:rsidRPr="00BF6F03">
                  <w:t xml:space="preserve"> for Sadler’s Wells (1948) reflect Howard’s 1935 </w:t>
                </w:r>
                <w:r w:rsidRPr="00BF6F03">
                  <w:rPr>
                    <w:i/>
                  </w:rPr>
                  <w:t>Cinderella</w:t>
                </w:r>
                <w:r w:rsidRPr="00BF6F03">
                  <w:t xml:space="preserve"> for </w:t>
                </w:r>
                <w:proofErr w:type="spellStart"/>
                <w:r w:rsidRPr="00BF6F03">
                  <w:t>Rambert</w:t>
                </w:r>
                <w:proofErr w:type="spellEnd"/>
                <w:r w:rsidRPr="00BF6F03">
                  <w:t xml:space="preserve">, and Ashton’s </w:t>
                </w:r>
                <w:proofErr w:type="spellStart"/>
                <w:r w:rsidRPr="00BF6F03">
                  <w:rPr>
                    <w:i/>
                  </w:rPr>
                  <w:t>Ondine</w:t>
                </w:r>
                <w:proofErr w:type="spellEnd"/>
                <w:r w:rsidRPr="00BF6F03">
                  <w:t xml:space="preserve"> (1958) reveals discrete visual allusions to Howard’s 1934 </w:t>
                </w:r>
                <w:r w:rsidRPr="00BF6F03">
                  <w:rPr>
                    <w:i/>
                  </w:rPr>
                  <w:t>Mermaid</w:t>
                </w:r>
                <w:r w:rsidRPr="00BF6F03">
                  <w:t xml:space="preserve">. Mark Baldwin produced an imaginative recreation of </w:t>
                </w:r>
                <w:r w:rsidRPr="00BF6F03">
                  <w:rPr>
                    <w:i/>
                  </w:rPr>
                  <w:t>Lady into Fox</w:t>
                </w:r>
                <w:r w:rsidRPr="00BF6F03">
                  <w:t xml:space="preserve"> for Ballet </w:t>
                </w:r>
                <w:proofErr w:type="spellStart"/>
                <w:r w:rsidRPr="00BF6F03">
                  <w:t>Rambert</w:t>
                </w:r>
                <w:proofErr w:type="spellEnd"/>
                <w:r w:rsidRPr="00BF6F03">
                  <w:t xml:space="preserve"> in 2006.</w:t>
                </w:r>
              </w:p>
              <w:p w14:paraId="6865B2DE" w14:textId="77777777" w:rsidR="00E45FB5" w:rsidRPr="00BF6F03" w:rsidRDefault="00E45FB5" w:rsidP="00E45FB5"/>
              <w:p w14:paraId="208BF020" w14:textId="77777777" w:rsidR="00E45FB5" w:rsidRPr="00BF6F03" w:rsidRDefault="00E45FB5" w:rsidP="00E45FB5">
                <w:r w:rsidRPr="00BF6F03">
                  <w:t xml:space="preserve">Of all the </w:t>
                </w:r>
                <w:proofErr w:type="spellStart"/>
                <w:r w:rsidRPr="00BF6F03">
                  <w:t>Rambert</w:t>
                </w:r>
                <w:proofErr w:type="spellEnd"/>
                <w:r w:rsidRPr="00BF6F03">
                  <w:t xml:space="preserve"> choreographers of the early period, Howard came closest to expressing in </w:t>
                </w:r>
                <w:r w:rsidRPr="00BF6F03">
                  <w:lastRenderedPageBreak/>
                  <w:t xml:space="preserve">dance a specifically female experience, exploring female psychological states and isolation in a way that recalls the formal experimentation of the </w:t>
                </w:r>
                <w:r>
                  <w:t>m</w:t>
                </w:r>
                <w:r w:rsidRPr="00BF6F03">
                  <w:t xml:space="preserve">odernist novel. Richard Buckle’s description of Howard in a 1953 review in </w:t>
                </w:r>
                <w:r w:rsidRPr="00BF6F03">
                  <w:rPr>
                    <w:i/>
                  </w:rPr>
                  <w:t>The Observer</w:t>
                </w:r>
                <w:r w:rsidRPr="00BF6F03">
                  <w:t xml:space="preserve"> as ‘the Virginia Woolf of choreographers’ characterised her unique contribution to dramatic ballet in Britain in the twentieth century. </w:t>
                </w:r>
              </w:p>
              <w:p w14:paraId="3387D0AB" w14:textId="77777777" w:rsidR="00E45FB5" w:rsidRPr="00BF6F03" w:rsidRDefault="00E45FB5" w:rsidP="00BE5707">
                <w:pPr>
                  <w:pStyle w:val="Heading1"/>
                  <w:outlineLvl w:val="0"/>
                </w:pPr>
                <w:r w:rsidRPr="00BF6F03">
                  <w:br/>
                  <w:t>Selected List of Works</w:t>
                </w:r>
              </w:p>
              <w:p w14:paraId="7C5D102D" w14:textId="77777777" w:rsidR="00E45FB5" w:rsidRPr="00BF6F03" w:rsidRDefault="00E45FB5" w:rsidP="00E45FB5">
                <w:r w:rsidRPr="00BF6F03">
                  <w:rPr>
                    <w:i/>
                  </w:rPr>
                  <w:t>Scherzo</w:t>
                </w:r>
                <w:r w:rsidRPr="00BF6F03">
                  <w:t xml:space="preserve"> (solo, 1931)</w:t>
                </w:r>
              </w:p>
              <w:p w14:paraId="1942894F" w14:textId="77777777" w:rsidR="00E45FB5" w:rsidRPr="00BF6F03" w:rsidRDefault="00E45FB5" w:rsidP="00E45FB5">
                <w:r w:rsidRPr="00BF6F03">
                  <w:rPr>
                    <w:i/>
                  </w:rPr>
                  <w:t xml:space="preserve">La Belle </w:t>
                </w:r>
                <w:proofErr w:type="spellStart"/>
                <w:r w:rsidRPr="00BF6F03">
                  <w:rPr>
                    <w:i/>
                  </w:rPr>
                  <w:t>écuyère</w:t>
                </w:r>
                <w:proofErr w:type="spellEnd"/>
                <w:r w:rsidRPr="00BF6F03">
                  <w:t xml:space="preserve"> (</w:t>
                </w:r>
                <w:r w:rsidRPr="00BF6F03">
                  <w:rPr>
                    <w:i/>
                  </w:rPr>
                  <w:t>The Beautiful Cavalier</w:t>
                </w:r>
                <w:r w:rsidRPr="00BF6F03">
                  <w:t>, solo, 1932)</w:t>
                </w:r>
              </w:p>
              <w:p w14:paraId="289A5206" w14:textId="77777777" w:rsidR="00E45FB5" w:rsidRPr="00BF6F03" w:rsidRDefault="00E45FB5" w:rsidP="00E45FB5">
                <w:r w:rsidRPr="00BF6F03">
                  <w:rPr>
                    <w:i/>
                  </w:rPr>
                  <w:t xml:space="preserve">Our Lady’s Juggler </w:t>
                </w:r>
                <w:r w:rsidRPr="00BF6F03">
                  <w:t xml:space="preserve">(1933, after Susan </w:t>
                </w:r>
                <w:proofErr w:type="spellStart"/>
                <w:r w:rsidRPr="00BF6F03">
                  <w:t>Salaman</w:t>
                </w:r>
                <w:proofErr w:type="spellEnd"/>
                <w:r w:rsidRPr="00BF6F03">
                  <w:t>)</w:t>
                </w:r>
              </w:p>
              <w:p w14:paraId="43497E1B" w14:textId="77777777" w:rsidR="00E45FB5" w:rsidRPr="00BF6F03" w:rsidRDefault="00E45FB5" w:rsidP="00E45FB5">
                <w:r w:rsidRPr="00BF6F03">
                  <w:rPr>
                    <w:i/>
                  </w:rPr>
                  <w:t>Mermaid</w:t>
                </w:r>
                <w:r w:rsidRPr="00BF6F03">
                  <w:t xml:space="preserve"> (1934, with Susan </w:t>
                </w:r>
                <w:proofErr w:type="spellStart"/>
                <w:r w:rsidRPr="00BF6F03">
                  <w:t>Salaman</w:t>
                </w:r>
                <w:proofErr w:type="spellEnd"/>
                <w:r w:rsidRPr="00BF6F03">
                  <w:t>)</w:t>
                </w:r>
              </w:p>
              <w:p w14:paraId="7577A80C" w14:textId="77777777" w:rsidR="00E45FB5" w:rsidRPr="00BF6F03" w:rsidRDefault="00E45FB5" w:rsidP="00E45FB5">
                <w:proofErr w:type="spellStart"/>
                <w:r w:rsidRPr="00BF6F03">
                  <w:rPr>
                    <w:i/>
                  </w:rPr>
                  <w:t>Alcina</w:t>
                </w:r>
                <w:proofErr w:type="spellEnd"/>
                <w:r w:rsidRPr="00BF6F03">
                  <w:rPr>
                    <w:i/>
                  </w:rPr>
                  <w:t xml:space="preserve"> Suite</w:t>
                </w:r>
                <w:r w:rsidRPr="00BF6F03">
                  <w:t xml:space="preserve"> (1934)</w:t>
                </w:r>
              </w:p>
              <w:p w14:paraId="0A76D730" w14:textId="77777777" w:rsidR="00E45FB5" w:rsidRPr="00BF6F03" w:rsidRDefault="00E45FB5" w:rsidP="00E45FB5">
                <w:r w:rsidRPr="00BF6F03">
                  <w:rPr>
                    <w:i/>
                  </w:rPr>
                  <w:t>Cinderella</w:t>
                </w:r>
                <w:r w:rsidRPr="00BF6F03">
                  <w:t xml:space="preserve"> (1935)</w:t>
                </w:r>
              </w:p>
              <w:p w14:paraId="0C2A059C" w14:textId="77777777" w:rsidR="00E45FB5" w:rsidRPr="00BF6F03" w:rsidRDefault="00E45FB5" w:rsidP="00E45FB5">
                <w:r w:rsidRPr="00BF6F03">
                  <w:rPr>
                    <w:i/>
                  </w:rPr>
                  <w:t>The Rape of the Lock</w:t>
                </w:r>
                <w:r w:rsidRPr="00BF6F03">
                  <w:t xml:space="preserve"> (1935)</w:t>
                </w:r>
              </w:p>
              <w:p w14:paraId="4325FBDA" w14:textId="77777777" w:rsidR="00E45FB5" w:rsidRPr="00BF6F03" w:rsidRDefault="00E45FB5" w:rsidP="00E45FB5">
                <w:r w:rsidRPr="00BF6F03">
                  <w:rPr>
                    <w:i/>
                  </w:rPr>
                  <w:t xml:space="preserve">La Muse </w:t>
                </w:r>
                <w:proofErr w:type="spellStart"/>
                <w:r w:rsidRPr="00BF6F03">
                  <w:rPr>
                    <w:i/>
                  </w:rPr>
                  <w:t>s’amuse</w:t>
                </w:r>
                <w:proofErr w:type="spellEnd"/>
                <w:r w:rsidRPr="00BF6F03">
                  <w:rPr>
                    <w:i/>
                  </w:rPr>
                  <w:t xml:space="preserve"> </w:t>
                </w:r>
                <w:r w:rsidRPr="00BF6F03">
                  <w:t>(</w:t>
                </w:r>
                <w:r w:rsidRPr="00BF6F03">
                  <w:rPr>
                    <w:i/>
                  </w:rPr>
                  <w:t>The Muse Has Fun</w:t>
                </w:r>
                <w:r w:rsidRPr="00BF6F03">
                  <w:t>, 1936)</w:t>
                </w:r>
              </w:p>
              <w:p w14:paraId="233BAD4B" w14:textId="77777777" w:rsidR="00E45FB5" w:rsidRPr="00BF6F03" w:rsidRDefault="00E45FB5" w:rsidP="00E45FB5">
                <w:r w:rsidRPr="00BF6F03">
                  <w:rPr>
                    <w:i/>
                  </w:rPr>
                  <w:t>Death and the Maiden</w:t>
                </w:r>
                <w:r w:rsidRPr="00BF6F03">
                  <w:t xml:space="preserve"> (1937)</w:t>
                </w:r>
              </w:p>
              <w:p w14:paraId="4373DA95" w14:textId="77777777" w:rsidR="00E45FB5" w:rsidRPr="00BF6F03" w:rsidRDefault="00E45FB5" w:rsidP="00E45FB5">
                <w:proofErr w:type="spellStart"/>
                <w:r w:rsidRPr="00BF6F03">
                  <w:rPr>
                    <w:i/>
                  </w:rPr>
                  <w:t>Croquis</w:t>
                </w:r>
                <w:proofErr w:type="spellEnd"/>
                <w:r w:rsidRPr="00BF6F03">
                  <w:rPr>
                    <w:i/>
                  </w:rPr>
                  <w:t xml:space="preserve"> de </w:t>
                </w:r>
                <w:proofErr w:type="spellStart"/>
                <w:r w:rsidRPr="00BF6F03">
                  <w:rPr>
                    <w:i/>
                  </w:rPr>
                  <w:t>Mercure</w:t>
                </w:r>
                <w:proofErr w:type="spellEnd"/>
                <w:r w:rsidRPr="00BF6F03">
                  <w:t xml:space="preserve"> (</w:t>
                </w:r>
                <w:r w:rsidRPr="00BF6F03">
                  <w:rPr>
                    <w:i/>
                  </w:rPr>
                  <w:t>Sketches of Mercury</w:t>
                </w:r>
                <w:r w:rsidRPr="00BF6F03">
                  <w:t>, 1938)</w:t>
                </w:r>
              </w:p>
              <w:p w14:paraId="4E9552C8" w14:textId="77777777" w:rsidR="00E45FB5" w:rsidRPr="00BF6F03" w:rsidRDefault="00E45FB5" w:rsidP="00E45FB5">
                <w:r w:rsidRPr="00BF6F03">
                  <w:rPr>
                    <w:i/>
                  </w:rPr>
                  <w:t>Lady into Fox</w:t>
                </w:r>
                <w:r w:rsidRPr="00BF6F03">
                  <w:t xml:space="preserve"> (1939)</w:t>
                </w:r>
              </w:p>
              <w:p w14:paraId="51959587" w14:textId="77777777" w:rsidR="00E45FB5" w:rsidRPr="00BF6F03" w:rsidRDefault="00E45FB5" w:rsidP="00E45FB5">
                <w:r w:rsidRPr="00BF6F03">
                  <w:rPr>
                    <w:i/>
                  </w:rPr>
                  <w:t xml:space="preserve">La Fête </w:t>
                </w:r>
                <w:proofErr w:type="spellStart"/>
                <w:r w:rsidRPr="00BF6F03">
                  <w:rPr>
                    <w:i/>
                  </w:rPr>
                  <w:t>étrange</w:t>
                </w:r>
                <w:proofErr w:type="spellEnd"/>
                <w:r w:rsidRPr="00BF6F03">
                  <w:t xml:space="preserve"> (</w:t>
                </w:r>
                <w:r w:rsidRPr="00BF6F03">
                  <w:rPr>
                    <w:i/>
                  </w:rPr>
                  <w:t>The Strange Celebration</w:t>
                </w:r>
                <w:r w:rsidRPr="00BF6F03">
                  <w:t>, 1940)</w:t>
                </w:r>
              </w:p>
              <w:p w14:paraId="729631D5" w14:textId="77777777" w:rsidR="00E45FB5" w:rsidRPr="00BF6F03" w:rsidRDefault="00E45FB5" w:rsidP="00E45FB5">
                <w:r w:rsidRPr="00BF6F03">
                  <w:rPr>
                    <w:i/>
                  </w:rPr>
                  <w:t>Twelfth Night</w:t>
                </w:r>
                <w:r w:rsidRPr="00BF6F03">
                  <w:t xml:space="preserve"> (1942)</w:t>
                </w:r>
              </w:p>
              <w:p w14:paraId="0702B7C3" w14:textId="77777777" w:rsidR="00E45FB5" w:rsidRPr="00BF6F03" w:rsidRDefault="00E45FB5" w:rsidP="00E45FB5">
                <w:r w:rsidRPr="00BF6F03">
                  <w:rPr>
                    <w:i/>
                  </w:rPr>
                  <w:t>Carnival of Animals</w:t>
                </w:r>
                <w:r w:rsidRPr="00BF6F03">
                  <w:t xml:space="preserve"> (1943)</w:t>
                </w:r>
              </w:p>
              <w:p w14:paraId="0E505F3A" w14:textId="77777777" w:rsidR="00E45FB5" w:rsidRPr="00BF6F03" w:rsidRDefault="00E45FB5" w:rsidP="00E45FB5">
                <w:r w:rsidRPr="00BF6F03">
                  <w:rPr>
                    <w:i/>
                  </w:rPr>
                  <w:t xml:space="preserve">Le </w:t>
                </w:r>
                <w:proofErr w:type="spellStart"/>
                <w:r w:rsidRPr="00BF6F03">
                  <w:rPr>
                    <w:i/>
                  </w:rPr>
                  <w:t>Festin</w:t>
                </w:r>
                <w:proofErr w:type="spellEnd"/>
                <w:r w:rsidRPr="00BF6F03">
                  <w:rPr>
                    <w:i/>
                  </w:rPr>
                  <w:t xml:space="preserve"> de </w:t>
                </w:r>
                <w:proofErr w:type="spellStart"/>
                <w:r w:rsidRPr="00BF6F03">
                  <w:rPr>
                    <w:i/>
                  </w:rPr>
                  <w:t>l’airaignée</w:t>
                </w:r>
                <w:proofErr w:type="spellEnd"/>
                <w:r w:rsidRPr="00BF6F03">
                  <w:t xml:space="preserve"> (</w:t>
                </w:r>
                <w:r w:rsidRPr="00BF6F03">
                  <w:rPr>
                    <w:i/>
                  </w:rPr>
                  <w:t>The Spider’s Banquet</w:t>
                </w:r>
                <w:r w:rsidRPr="00BF6F03">
                  <w:t>, 1944)</w:t>
                </w:r>
              </w:p>
              <w:p w14:paraId="3C61EE11" w14:textId="77777777" w:rsidR="00E45FB5" w:rsidRPr="00BF6F03" w:rsidRDefault="00E45FB5" w:rsidP="00E45FB5">
                <w:r w:rsidRPr="00BF6F03">
                  <w:rPr>
                    <w:i/>
                  </w:rPr>
                  <w:t>The Fugitive</w:t>
                </w:r>
                <w:r w:rsidRPr="00BF6F03">
                  <w:t xml:space="preserve"> (1944)</w:t>
                </w:r>
              </w:p>
              <w:p w14:paraId="13F6CC48" w14:textId="77777777" w:rsidR="00E45FB5" w:rsidRPr="00BF6F03" w:rsidRDefault="00E45FB5" w:rsidP="00E45FB5">
                <w:r w:rsidRPr="00BF6F03">
                  <w:rPr>
                    <w:i/>
                  </w:rPr>
                  <w:t>Assembly Ball</w:t>
                </w:r>
                <w:r w:rsidRPr="00BF6F03">
                  <w:t xml:space="preserve"> (1946)</w:t>
                </w:r>
              </w:p>
              <w:p w14:paraId="7E07B248" w14:textId="77777777" w:rsidR="00E45FB5" w:rsidRPr="00BF6F03" w:rsidRDefault="00E45FB5" w:rsidP="00E45FB5">
                <w:r w:rsidRPr="00BF6F03">
                  <w:rPr>
                    <w:i/>
                  </w:rPr>
                  <w:t>Mardi Gras</w:t>
                </w:r>
                <w:r w:rsidRPr="00BF6F03">
                  <w:t xml:space="preserve"> (1946)</w:t>
                </w:r>
              </w:p>
              <w:p w14:paraId="084F62FB" w14:textId="77777777" w:rsidR="00E45FB5" w:rsidRPr="00BF6F03" w:rsidRDefault="00E45FB5" w:rsidP="00E45FB5">
                <w:r w:rsidRPr="00BF6F03">
                  <w:rPr>
                    <w:i/>
                  </w:rPr>
                  <w:t>The Sailor’s Return</w:t>
                </w:r>
                <w:r w:rsidRPr="00BF6F03">
                  <w:t xml:space="preserve"> (1947)</w:t>
                </w:r>
              </w:p>
              <w:p w14:paraId="6894DD2C" w14:textId="77777777" w:rsidR="00E45FB5" w:rsidRPr="00BF6F03" w:rsidRDefault="00E45FB5" w:rsidP="00E45FB5">
                <w:proofErr w:type="spellStart"/>
                <w:r w:rsidRPr="00BF6F03">
                  <w:rPr>
                    <w:i/>
                  </w:rPr>
                  <w:t>Selina</w:t>
                </w:r>
                <w:proofErr w:type="spellEnd"/>
                <w:r w:rsidRPr="00BF6F03">
                  <w:t xml:space="preserve"> (1948)</w:t>
                </w:r>
              </w:p>
              <w:p w14:paraId="31F5BE59" w14:textId="77777777" w:rsidR="00E45FB5" w:rsidRPr="00BF6F03" w:rsidRDefault="00E45FB5" w:rsidP="00E45FB5">
                <w:proofErr w:type="spellStart"/>
                <w:r w:rsidRPr="00BF6F03">
                  <w:rPr>
                    <w:i/>
                  </w:rPr>
                  <w:t>Ballamento</w:t>
                </w:r>
                <w:proofErr w:type="spellEnd"/>
                <w:r w:rsidRPr="00BF6F03">
                  <w:t xml:space="preserve"> (1949)</w:t>
                </w:r>
              </w:p>
              <w:p w14:paraId="3B941C3F" w14:textId="77777777" w:rsidR="00E45FB5" w:rsidRPr="00BF6F03" w:rsidRDefault="00E45FB5" w:rsidP="00E45FB5">
                <w:r w:rsidRPr="00BF6F03">
                  <w:rPr>
                    <w:i/>
                  </w:rPr>
                  <w:t>A Mirror for Witches</w:t>
                </w:r>
                <w:r w:rsidRPr="00BF6F03">
                  <w:t xml:space="preserve"> (1952)</w:t>
                </w:r>
              </w:p>
              <w:p w14:paraId="3C0C7467" w14:textId="77777777" w:rsidR="00E45FB5" w:rsidRPr="00BF6F03" w:rsidRDefault="00E45FB5" w:rsidP="00E45FB5">
                <w:proofErr w:type="spellStart"/>
                <w:r w:rsidRPr="00BF6F03">
                  <w:rPr>
                    <w:i/>
                  </w:rPr>
                  <w:t>Veneziana</w:t>
                </w:r>
                <w:proofErr w:type="spellEnd"/>
                <w:r w:rsidRPr="00BF6F03">
                  <w:t xml:space="preserve"> (1953)</w:t>
                </w:r>
              </w:p>
              <w:p w14:paraId="44DA7340" w14:textId="77777777" w:rsidR="00E45FB5" w:rsidRPr="00BF6F03" w:rsidRDefault="00E45FB5" w:rsidP="00E45FB5">
                <w:r w:rsidRPr="00BF6F03">
                  <w:rPr>
                    <w:i/>
                  </w:rPr>
                  <w:t xml:space="preserve">Vis-à </w:t>
                </w:r>
                <w:proofErr w:type="spellStart"/>
                <w:r w:rsidRPr="00BF6F03">
                  <w:rPr>
                    <w:i/>
                  </w:rPr>
                  <w:t>vis</w:t>
                </w:r>
                <w:proofErr w:type="spellEnd"/>
                <w:r w:rsidRPr="00BF6F03">
                  <w:t xml:space="preserve"> (1953)</w:t>
                </w:r>
              </w:p>
              <w:p w14:paraId="0B84444E" w14:textId="77777777" w:rsidR="00E45FB5" w:rsidRPr="00BF6F03" w:rsidRDefault="00E45FB5" w:rsidP="00E45FB5">
                <w:r w:rsidRPr="00BF6F03">
                  <w:rPr>
                    <w:i/>
                  </w:rPr>
                  <w:t xml:space="preserve">Conte </w:t>
                </w:r>
                <w:proofErr w:type="spellStart"/>
                <w:r w:rsidRPr="00BF6F03">
                  <w:rPr>
                    <w:i/>
                  </w:rPr>
                  <w:t>Fatastique</w:t>
                </w:r>
                <w:proofErr w:type="spellEnd"/>
                <w:r w:rsidRPr="00BF6F03">
                  <w:t xml:space="preserve"> (</w:t>
                </w:r>
                <w:r w:rsidRPr="00BF6F03">
                  <w:rPr>
                    <w:i/>
                  </w:rPr>
                  <w:t>Fantasy Tale</w:t>
                </w:r>
                <w:r w:rsidRPr="00BF6F03">
                  <w:t>, 1957)</w:t>
                </w:r>
              </w:p>
              <w:p w14:paraId="6C3D26F2" w14:textId="77777777" w:rsidR="00E45FB5" w:rsidRPr="00BF6F03" w:rsidRDefault="00E45FB5" w:rsidP="00E45FB5">
                <w:r w:rsidRPr="00BF6F03">
                  <w:rPr>
                    <w:i/>
                  </w:rPr>
                  <w:t xml:space="preserve">La Belle dame sans </w:t>
                </w:r>
                <w:proofErr w:type="spellStart"/>
                <w:r w:rsidRPr="00BF6F03">
                  <w:rPr>
                    <w:i/>
                  </w:rPr>
                  <w:t>merci</w:t>
                </w:r>
                <w:proofErr w:type="spellEnd"/>
                <w:r w:rsidRPr="00BF6F03">
                  <w:t xml:space="preserve"> (</w:t>
                </w:r>
                <w:r w:rsidRPr="00BF6F03">
                  <w:rPr>
                    <w:i/>
                  </w:rPr>
                  <w:t>The Beautiful Lady without Mercy</w:t>
                </w:r>
                <w:r w:rsidRPr="00BF6F03">
                  <w:t>, 1958)</w:t>
                </w:r>
              </w:p>
              <w:p w14:paraId="010BFE1D" w14:textId="77777777" w:rsidR="00E45FB5" w:rsidRPr="00BF6F03" w:rsidRDefault="00E45FB5" w:rsidP="00E45FB5">
                <w:r w:rsidRPr="00BF6F03">
                  <w:rPr>
                    <w:i/>
                  </w:rPr>
                  <w:t xml:space="preserve">Les Barricades </w:t>
                </w:r>
                <w:proofErr w:type="spellStart"/>
                <w:r w:rsidRPr="00BF6F03">
                  <w:rPr>
                    <w:i/>
                  </w:rPr>
                  <w:t>mystérieuses</w:t>
                </w:r>
                <w:proofErr w:type="spellEnd"/>
                <w:r w:rsidRPr="00BF6F03">
                  <w:t xml:space="preserve"> (</w:t>
                </w:r>
                <w:r w:rsidRPr="00BF6F03">
                  <w:rPr>
                    <w:i/>
                  </w:rPr>
                  <w:t>The Mysterious Barricades</w:t>
                </w:r>
                <w:r w:rsidRPr="00BF6F03">
                  <w:t>, 1962-3)</w:t>
                </w:r>
              </w:p>
              <w:p w14:paraId="44205D1A" w14:textId="77777777" w:rsidR="00E45FB5" w:rsidRPr="00BF6F03" w:rsidRDefault="00E45FB5" w:rsidP="00E45FB5">
                <w:r w:rsidRPr="00BF6F03">
                  <w:rPr>
                    <w:i/>
                  </w:rPr>
                  <w:t>The Tempest</w:t>
                </w:r>
                <w:r w:rsidRPr="00BF6F03">
                  <w:t xml:space="preserve"> (1964)</w:t>
                </w:r>
              </w:p>
              <w:p w14:paraId="28A07BA0" w14:textId="77777777" w:rsidR="00E45FB5" w:rsidRPr="00BF6F03" w:rsidRDefault="00E45FB5" w:rsidP="00E45FB5"/>
              <w:p w14:paraId="2FB36B83" w14:textId="77777777" w:rsidR="00E45FB5" w:rsidRPr="00BF6F03" w:rsidRDefault="00E45FB5" w:rsidP="00BE5707">
                <w:pPr>
                  <w:pStyle w:val="Heading1"/>
                  <w:outlineLvl w:val="0"/>
                </w:pPr>
                <w:r w:rsidRPr="00BF6F03">
                  <w:t>Selected Choreography for Plays, Opera and Musical Theatre</w:t>
                </w:r>
              </w:p>
              <w:p w14:paraId="113057E2" w14:textId="77777777" w:rsidR="00E45FB5" w:rsidRPr="00BF6F03" w:rsidRDefault="00E45FB5" w:rsidP="00E45FB5">
                <w:r w:rsidRPr="00BF6F03">
                  <w:rPr>
                    <w:i/>
                  </w:rPr>
                  <w:t>Beau Brummel</w:t>
                </w:r>
                <w:r w:rsidRPr="00BF6F03">
                  <w:t xml:space="preserve"> (musical play, 1933)</w:t>
                </w:r>
              </w:p>
              <w:p w14:paraId="06A84409" w14:textId="77777777" w:rsidR="00E45FB5" w:rsidRPr="00BF6F03" w:rsidRDefault="00E45FB5" w:rsidP="00E45FB5">
                <w:proofErr w:type="spellStart"/>
                <w:r w:rsidRPr="00BF6F03">
                  <w:rPr>
                    <w:i/>
                  </w:rPr>
                  <w:t>Televariety</w:t>
                </w:r>
                <w:proofErr w:type="spellEnd"/>
                <w:r w:rsidRPr="00BF6F03">
                  <w:t xml:space="preserve"> (revue, 1935)</w:t>
                </w:r>
              </w:p>
              <w:p w14:paraId="0046B2F6" w14:textId="77777777" w:rsidR="00E45FB5" w:rsidRPr="00BF6F03" w:rsidRDefault="00E45FB5" w:rsidP="00E45FB5">
                <w:r w:rsidRPr="00BF6F03">
                  <w:rPr>
                    <w:i/>
                  </w:rPr>
                  <w:t>A Midsummer Night’s Dream</w:t>
                </w:r>
                <w:r w:rsidRPr="00BF6F03">
                  <w:t xml:space="preserve"> (play, 1936)</w:t>
                </w:r>
              </w:p>
              <w:p w14:paraId="334C48DB" w14:textId="77777777" w:rsidR="00E45FB5" w:rsidRPr="00BF6F03" w:rsidRDefault="00E45FB5" w:rsidP="00E45FB5">
                <w:r w:rsidRPr="00BF6F03">
                  <w:rPr>
                    <w:i/>
                  </w:rPr>
                  <w:t>The Insect Play</w:t>
                </w:r>
                <w:r w:rsidRPr="00BF6F03">
                  <w:t xml:space="preserve"> (TV play, 1937)</w:t>
                </w:r>
              </w:p>
              <w:p w14:paraId="1093C9F6" w14:textId="77777777" w:rsidR="00E45FB5" w:rsidRPr="00BF6F03" w:rsidRDefault="00E45FB5" w:rsidP="00E45FB5">
                <w:r w:rsidRPr="00BF6F03">
                  <w:rPr>
                    <w:i/>
                  </w:rPr>
                  <w:t>The Golden Apple</w:t>
                </w:r>
                <w:r w:rsidRPr="00BF6F03">
                  <w:t xml:space="preserve"> (TV ballet, 1937)</w:t>
                </w:r>
              </w:p>
              <w:p w14:paraId="10B7A069" w14:textId="77777777" w:rsidR="00E45FB5" w:rsidRPr="00BF6F03" w:rsidRDefault="00E45FB5" w:rsidP="00E45FB5">
                <w:proofErr w:type="spellStart"/>
                <w:r w:rsidRPr="00BF6F03">
                  <w:rPr>
                    <w:i/>
                  </w:rPr>
                  <w:t>Acis</w:t>
                </w:r>
                <w:proofErr w:type="spellEnd"/>
                <w:r w:rsidRPr="00BF6F03">
                  <w:rPr>
                    <w:i/>
                  </w:rPr>
                  <w:t xml:space="preserve"> and Galatea</w:t>
                </w:r>
                <w:r w:rsidRPr="00BF6F03">
                  <w:t xml:space="preserve"> (opera, 1938)</w:t>
                </w:r>
              </w:p>
              <w:p w14:paraId="6F919EE7" w14:textId="77777777" w:rsidR="00E45FB5" w:rsidRPr="00BF6F03" w:rsidRDefault="00E45FB5" w:rsidP="00E45FB5">
                <w:r w:rsidRPr="00BF6F03">
                  <w:rPr>
                    <w:i/>
                  </w:rPr>
                  <w:t>An Elephant in Arcady</w:t>
                </w:r>
                <w:r w:rsidRPr="00BF6F03">
                  <w:t xml:space="preserve"> (musical play, 1938)</w:t>
                </w:r>
              </w:p>
              <w:p w14:paraId="4089FE0D" w14:textId="77777777" w:rsidR="00E45FB5" w:rsidRPr="00BF6F03" w:rsidRDefault="00E45FB5" w:rsidP="00E45FB5">
                <w:r w:rsidRPr="00BF6F03">
                  <w:rPr>
                    <w:i/>
                  </w:rPr>
                  <w:t>The Swiss Family Robinson</w:t>
                </w:r>
                <w:r w:rsidRPr="00BF6F03">
                  <w:t xml:space="preserve"> (musical play, 1938)</w:t>
                </w:r>
              </w:p>
              <w:p w14:paraId="08E41590" w14:textId="77777777" w:rsidR="00E45FB5" w:rsidRPr="00BF6F03" w:rsidRDefault="00E45FB5" w:rsidP="00E45FB5">
                <w:proofErr w:type="spellStart"/>
                <w:r w:rsidRPr="00BF6F03">
                  <w:rPr>
                    <w:i/>
                  </w:rPr>
                  <w:t>Arlecchino</w:t>
                </w:r>
                <w:proofErr w:type="spellEnd"/>
                <w:r w:rsidRPr="00BF6F03">
                  <w:t xml:space="preserve"> (opera, 1939)</w:t>
                </w:r>
              </w:p>
              <w:p w14:paraId="311BEAD0" w14:textId="77777777" w:rsidR="00E45FB5" w:rsidRPr="00BF6F03" w:rsidRDefault="00E45FB5" w:rsidP="00E45FB5">
                <w:r w:rsidRPr="00BF6F03">
                  <w:rPr>
                    <w:i/>
                  </w:rPr>
                  <w:t>Romeo and Juliet</w:t>
                </w:r>
                <w:r w:rsidRPr="00BF6F03">
                  <w:t xml:space="preserve"> (play, 1939)</w:t>
                </w:r>
              </w:p>
              <w:p w14:paraId="170BFB91" w14:textId="77777777" w:rsidR="00E45FB5" w:rsidRPr="00BF6F03" w:rsidRDefault="00E45FB5" w:rsidP="00E45FB5">
                <w:r w:rsidRPr="00BF6F03">
                  <w:rPr>
                    <w:i/>
                  </w:rPr>
                  <w:t>Big Top</w:t>
                </w:r>
                <w:r w:rsidRPr="00BF6F03">
                  <w:t xml:space="preserve"> (Cochran revue, 1942)</w:t>
                </w:r>
              </w:p>
              <w:p w14:paraId="41BEA086" w14:textId="77777777" w:rsidR="00E45FB5" w:rsidRPr="00BF6F03" w:rsidRDefault="00E45FB5" w:rsidP="00E45FB5">
                <w:r w:rsidRPr="00BF6F03">
                  <w:rPr>
                    <w:i/>
                  </w:rPr>
                  <w:t>It’s Foolish but it’s Fun</w:t>
                </w:r>
                <w:r w:rsidRPr="00BF6F03">
                  <w:t xml:space="preserve"> (revue, 1943)</w:t>
                </w:r>
              </w:p>
              <w:p w14:paraId="49210D05" w14:textId="77777777" w:rsidR="00E45FB5" w:rsidRPr="00BF6F03" w:rsidRDefault="00E45FB5" w:rsidP="00E45FB5">
                <w:r w:rsidRPr="00BF6F03">
                  <w:rPr>
                    <w:i/>
                  </w:rPr>
                  <w:t>The Tragedy of Dr Faustus</w:t>
                </w:r>
                <w:r w:rsidRPr="00BF6F03">
                  <w:t xml:space="preserve"> (play, 1944)</w:t>
                </w:r>
              </w:p>
              <w:p w14:paraId="13FD5894" w14:textId="77777777" w:rsidR="00E45FB5" w:rsidRPr="00BF6F03" w:rsidRDefault="00E45FB5" w:rsidP="00E45FB5">
                <w:r w:rsidRPr="00BF6F03">
                  <w:rPr>
                    <w:i/>
                  </w:rPr>
                  <w:lastRenderedPageBreak/>
                  <w:t>The Pilgrim’s Progress</w:t>
                </w:r>
                <w:r w:rsidRPr="00BF6F03">
                  <w:t xml:space="preserve"> (play with music, 1948)</w:t>
                </w:r>
              </w:p>
              <w:p w14:paraId="793BDE7C" w14:textId="77777777" w:rsidR="00E45FB5" w:rsidRPr="00BF6F03" w:rsidRDefault="00E45FB5" w:rsidP="00E45FB5">
                <w:r w:rsidRPr="00BF6F03">
                  <w:rPr>
                    <w:i/>
                  </w:rPr>
                  <w:t xml:space="preserve">Sauce </w:t>
                </w:r>
                <w:proofErr w:type="spellStart"/>
                <w:r w:rsidRPr="00BF6F03">
                  <w:rPr>
                    <w:i/>
                  </w:rPr>
                  <w:t>Tartare</w:t>
                </w:r>
                <w:proofErr w:type="spellEnd"/>
                <w:r w:rsidRPr="00BF6F03">
                  <w:t xml:space="preserve"> (revue, 1949)</w:t>
                </w:r>
              </w:p>
              <w:p w14:paraId="08D32825" w14:textId="77777777" w:rsidR="00E45FB5" w:rsidRPr="00BF6F03" w:rsidRDefault="00E45FB5" w:rsidP="00E45FB5">
                <w:r w:rsidRPr="00BF6F03">
                  <w:rPr>
                    <w:i/>
                  </w:rPr>
                  <w:t xml:space="preserve">Sauce </w:t>
                </w:r>
                <w:proofErr w:type="spellStart"/>
                <w:r w:rsidRPr="00BF6F03">
                  <w:rPr>
                    <w:i/>
                  </w:rPr>
                  <w:t>Piquante</w:t>
                </w:r>
                <w:proofErr w:type="spellEnd"/>
                <w:r w:rsidRPr="00BF6F03">
                  <w:t xml:space="preserve"> (revue, 1950)</w:t>
                </w:r>
              </w:p>
              <w:p w14:paraId="27B7D8E7" w14:textId="77777777" w:rsidR="00E45FB5" w:rsidRPr="00BF6F03" w:rsidRDefault="00E45FB5" w:rsidP="00E45FB5">
                <w:proofErr w:type="spellStart"/>
                <w:r w:rsidRPr="00BF6F03">
                  <w:rPr>
                    <w:i/>
                  </w:rPr>
                  <w:t>Orlando’s</w:t>
                </w:r>
                <w:proofErr w:type="spellEnd"/>
                <w:r w:rsidRPr="00BF6F03">
                  <w:rPr>
                    <w:i/>
                  </w:rPr>
                  <w:t xml:space="preserve"> Silver Wedding</w:t>
                </w:r>
                <w:r w:rsidRPr="00BF6F03">
                  <w:t xml:space="preserve"> (sung narrative, 1951)</w:t>
                </w:r>
              </w:p>
              <w:p w14:paraId="5308D801" w14:textId="77777777" w:rsidR="00E45FB5" w:rsidRPr="00BF6F03" w:rsidRDefault="00E45FB5" w:rsidP="00E45FB5">
                <w:proofErr w:type="spellStart"/>
                <w:r w:rsidRPr="00BF6F03">
                  <w:rPr>
                    <w:i/>
                  </w:rPr>
                  <w:t>Merrie</w:t>
                </w:r>
                <w:proofErr w:type="spellEnd"/>
                <w:r w:rsidRPr="00BF6F03">
                  <w:rPr>
                    <w:i/>
                  </w:rPr>
                  <w:t xml:space="preserve"> England</w:t>
                </w:r>
                <w:r w:rsidRPr="00BF6F03">
                  <w:t xml:space="preserve"> (comic opera, 1960)</w:t>
                </w:r>
              </w:p>
              <w:p w14:paraId="15538026" w14:textId="77777777" w:rsidR="003F0D73" w:rsidRDefault="003F0D73" w:rsidP="00C27FAB"/>
            </w:tc>
          </w:sdtContent>
        </w:sdt>
      </w:tr>
      <w:tr w:rsidR="003235A7" w14:paraId="10626888" w14:textId="77777777" w:rsidTr="003235A7">
        <w:tc>
          <w:tcPr>
            <w:tcW w:w="9016" w:type="dxa"/>
          </w:tcPr>
          <w:p w14:paraId="10102A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48CD9561400A458AF0A9E3F3347B7E"/>
              </w:placeholder>
            </w:sdtPr>
            <w:sdtContent>
              <w:p w14:paraId="572C6A1C" w14:textId="77777777" w:rsidR="00BE5707" w:rsidRDefault="00BE5707" w:rsidP="00BE5707"/>
              <w:p w14:paraId="5DEF8A43" w14:textId="77777777" w:rsidR="00BE5707" w:rsidRDefault="00BE5707" w:rsidP="00BE5707">
                <w:sdt>
                  <w:sdtPr>
                    <w:id w:val="-1480447039"/>
                    <w:citation/>
                  </w:sdtPr>
                  <w:sdtContent>
                    <w:r>
                      <w:fldChar w:fldCharType="begin"/>
                    </w:r>
                    <w:r>
                      <w:rPr>
                        <w:lang w:val="en-US"/>
                      </w:rPr>
                      <w:instrText xml:space="preserve"> CITATION Gil84 \l 1033 </w:instrText>
                    </w:r>
                    <w:r>
                      <w:fldChar w:fldCharType="separate"/>
                    </w:r>
                    <w:r>
                      <w:rPr>
                        <w:noProof/>
                        <w:lang w:val="en-US"/>
                      </w:rPr>
                      <w:t>(Gilmour)</w:t>
                    </w:r>
                    <w:r>
                      <w:fldChar w:fldCharType="end"/>
                    </w:r>
                  </w:sdtContent>
                </w:sdt>
              </w:p>
              <w:p w14:paraId="4998213A" w14:textId="77777777" w:rsidR="00BE5707" w:rsidRDefault="00BE5707" w:rsidP="00BE5707"/>
              <w:p w14:paraId="6C3F95B2" w14:textId="77777777" w:rsidR="00BE5707" w:rsidRDefault="00BE5707" w:rsidP="00BE5707">
                <w:sdt>
                  <w:sdtPr>
                    <w:id w:val="-1475372303"/>
                    <w:citation/>
                  </w:sdtPr>
                  <w:sdtContent>
                    <w:r>
                      <w:fldChar w:fldCharType="begin"/>
                    </w:r>
                    <w:r>
                      <w:rPr>
                        <w:lang w:val="en-US"/>
                      </w:rPr>
                      <w:instrText xml:space="preserve"> CITATION Jon08 \l 1033 </w:instrText>
                    </w:r>
                    <w:r>
                      <w:fldChar w:fldCharType="separate"/>
                    </w:r>
                    <w:r>
                      <w:rPr>
                        <w:noProof/>
                        <w:lang w:val="en-US"/>
                      </w:rPr>
                      <w:t>(Jones)</w:t>
                    </w:r>
                    <w:r>
                      <w:fldChar w:fldCharType="end"/>
                    </w:r>
                  </w:sdtContent>
                </w:sdt>
              </w:p>
              <w:p w14:paraId="5E5EAF85" w14:textId="77777777" w:rsidR="00BE5707" w:rsidRDefault="00BE5707" w:rsidP="00BE5707"/>
              <w:p w14:paraId="718063D8" w14:textId="77777777" w:rsidR="009C3251" w:rsidRDefault="009C3251" w:rsidP="00BE5707">
                <w:sdt>
                  <w:sdtPr>
                    <w:id w:val="1750927609"/>
                    <w:citation/>
                  </w:sdtPr>
                  <w:sdtContent>
                    <w:r>
                      <w:fldChar w:fldCharType="begin"/>
                    </w:r>
                    <w:r>
                      <w:rPr>
                        <w:lang w:val="en-US"/>
                      </w:rPr>
                      <w:instrText xml:space="preserve"> CITATION Llo84 \l 1033 </w:instrText>
                    </w:r>
                    <w:r>
                      <w:fldChar w:fldCharType="separate"/>
                    </w:r>
                    <w:r>
                      <w:rPr>
                        <w:noProof/>
                        <w:lang w:val="en-US"/>
                      </w:rPr>
                      <w:t>(Lloyd)</w:t>
                    </w:r>
                    <w:r>
                      <w:fldChar w:fldCharType="end"/>
                    </w:r>
                  </w:sdtContent>
                </w:sdt>
              </w:p>
              <w:p w14:paraId="65835033" w14:textId="77777777" w:rsidR="009C3251" w:rsidRDefault="009C3251" w:rsidP="00BE5707"/>
              <w:p w14:paraId="79A8A2BE" w14:textId="77777777" w:rsidR="009C3251" w:rsidRDefault="009C3251" w:rsidP="00BE5707">
                <w:sdt>
                  <w:sdtPr>
                    <w:id w:val="1702439064"/>
                    <w:citation/>
                  </w:sdtPr>
                  <w:sdtContent>
                    <w:r>
                      <w:fldChar w:fldCharType="begin"/>
                    </w:r>
                    <w:r>
                      <w:rPr>
                        <w:lang w:val="en-US"/>
                      </w:rPr>
                      <w:instrText xml:space="preserve">CITATION Pri \l 1033 </w:instrText>
                    </w:r>
                    <w:r>
                      <w:fldChar w:fldCharType="separate"/>
                    </w:r>
                    <w:r>
                      <w:rPr>
                        <w:noProof/>
                        <w:lang w:val="en-US"/>
                      </w:rPr>
                      <w:t>(Pritchard)</w:t>
                    </w:r>
                    <w:r>
                      <w:fldChar w:fldCharType="end"/>
                    </w:r>
                  </w:sdtContent>
                </w:sdt>
              </w:p>
              <w:p w14:paraId="55785AA5" w14:textId="77777777" w:rsidR="009C3251" w:rsidRDefault="009C3251" w:rsidP="00BE5707"/>
              <w:p w14:paraId="053A3D18" w14:textId="77777777" w:rsidR="009C3251" w:rsidRDefault="009C3251" w:rsidP="00BE5707">
                <w:sdt>
                  <w:sdtPr>
                    <w:id w:val="30848863"/>
                    <w:citation/>
                  </w:sdtPr>
                  <w:sdtContent>
                    <w:r>
                      <w:fldChar w:fldCharType="begin"/>
                    </w:r>
                    <w:r>
                      <w:rPr>
                        <w:lang w:val="en-US"/>
                      </w:rPr>
                      <w:instrText xml:space="preserve"> CITATION Pri06 \l 1033 </w:instrText>
                    </w:r>
                    <w:r>
                      <w:fldChar w:fldCharType="separate"/>
                    </w:r>
                    <w:r>
                      <w:rPr>
                        <w:noProof/>
                        <w:lang w:val="en-US"/>
                      </w:rPr>
                      <w:t>(Pritchard, Stepping Through History: The Transformation of Lady into Fox)</w:t>
                    </w:r>
                    <w:r>
                      <w:fldChar w:fldCharType="end"/>
                    </w:r>
                  </w:sdtContent>
                </w:sdt>
              </w:p>
              <w:p w14:paraId="26466A55" w14:textId="77777777" w:rsidR="009C3251" w:rsidRDefault="009C3251" w:rsidP="00BE5707"/>
              <w:p w14:paraId="766A0396" w14:textId="77777777" w:rsidR="009C3251" w:rsidRDefault="009C3251" w:rsidP="00BE5707">
                <w:sdt>
                  <w:sdtPr>
                    <w:id w:val="219101206"/>
                    <w:citation/>
                  </w:sdtPr>
                  <w:sdtContent>
                    <w:r>
                      <w:fldChar w:fldCharType="begin"/>
                    </w:r>
                    <w:r>
                      <w:rPr>
                        <w:lang w:val="en-US"/>
                      </w:rPr>
                      <w:instrText xml:space="preserve"> CITATION Ram72 \l 1033 </w:instrText>
                    </w:r>
                    <w:r>
                      <w:fldChar w:fldCharType="separate"/>
                    </w:r>
                    <w:r>
                      <w:rPr>
                        <w:noProof/>
                        <w:lang w:val="en-US"/>
                      </w:rPr>
                      <w:t>(Rambert)</w:t>
                    </w:r>
                    <w:r>
                      <w:fldChar w:fldCharType="end"/>
                    </w:r>
                  </w:sdtContent>
                </w:sdt>
              </w:p>
              <w:p w14:paraId="5C1880FC" w14:textId="77777777" w:rsidR="009C3251" w:rsidRDefault="009C3251" w:rsidP="00BE5707"/>
              <w:p w14:paraId="3319282D" w14:textId="77777777" w:rsidR="009C3251" w:rsidRDefault="009C3251" w:rsidP="00BE5707">
                <w:sdt>
                  <w:sdtPr>
                    <w:id w:val="847532148"/>
                    <w:citation/>
                  </w:sdtPr>
                  <w:sdtContent>
                    <w:r>
                      <w:fldChar w:fldCharType="begin"/>
                    </w:r>
                    <w:r>
                      <w:rPr>
                        <w:lang w:val="en-US"/>
                      </w:rPr>
                      <w:instrText xml:space="preserve"> CITATION Sor90 \l 1033 </w:instrText>
                    </w:r>
                    <w:r>
                      <w:fldChar w:fldCharType="separate"/>
                    </w:r>
                    <w:r>
                      <w:rPr>
                        <w:noProof/>
                        <w:lang w:val="en-US"/>
                      </w:rPr>
                      <w:t>(Sorley Walker)</w:t>
                    </w:r>
                    <w:r>
                      <w:fldChar w:fldCharType="end"/>
                    </w:r>
                  </w:sdtContent>
                </w:sdt>
              </w:p>
              <w:p w14:paraId="67271E03" w14:textId="77777777" w:rsidR="009C3251" w:rsidRDefault="009C3251" w:rsidP="00BE5707"/>
              <w:p w14:paraId="62B746DC" w14:textId="77777777" w:rsidR="009C3251" w:rsidRDefault="009C3251" w:rsidP="00BE5707">
                <w:sdt>
                  <w:sdtPr>
                    <w:id w:val="1468850164"/>
                    <w:citation/>
                  </w:sdtPr>
                  <w:sdtContent>
                    <w:r>
                      <w:fldChar w:fldCharType="begin"/>
                    </w:r>
                    <w:r>
                      <w:rPr>
                        <w:lang w:val="en-US"/>
                      </w:rPr>
                      <w:instrText xml:space="preserve"> CITATION Mui48 \l 1033 </w:instrText>
                    </w:r>
                    <w:r>
                      <w:fldChar w:fldCharType="separate"/>
                    </w:r>
                    <w:r>
                      <w:rPr>
                        <w:noProof/>
                        <w:lang w:val="en-US"/>
                      </w:rPr>
                      <w:t>(Mathieson)</w:t>
                    </w:r>
                    <w:r>
                      <w:fldChar w:fldCharType="end"/>
                    </w:r>
                  </w:sdtContent>
                </w:sdt>
              </w:p>
              <w:p w14:paraId="2C2643BC" w14:textId="77777777" w:rsidR="009C3251" w:rsidRDefault="009C3251" w:rsidP="00BE5707"/>
              <w:p w14:paraId="530146A8" w14:textId="77777777" w:rsidR="009C3251" w:rsidRDefault="009C3251" w:rsidP="00BE5707">
                <w:sdt>
                  <w:sdtPr>
                    <w:id w:val="-472525061"/>
                    <w:citation/>
                  </w:sdtPr>
                  <w:sdtContent>
                    <w:r>
                      <w:fldChar w:fldCharType="begin"/>
                    </w:r>
                    <w:r>
                      <w:rPr>
                        <w:lang w:val="en-US"/>
                      </w:rPr>
                      <w:instrText xml:space="preserve"> CITATION Mar76 \l 1033 </w:instrText>
                    </w:r>
                    <w:r>
                      <w:fldChar w:fldCharType="separate"/>
                    </w:r>
                    <w:r>
                      <w:rPr>
                        <w:noProof/>
                        <w:lang w:val="en-US"/>
                      </w:rPr>
                      <w:t>(Ballet Rambert: The First Fifty Years)</w:t>
                    </w:r>
                    <w:r>
                      <w:fldChar w:fldCharType="end"/>
                    </w:r>
                  </w:sdtContent>
                </w:sdt>
              </w:p>
              <w:p w14:paraId="7300802F" w14:textId="77777777" w:rsidR="009C3251" w:rsidRDefault="009C3251" w:rsidP="00BE5707"/>
              <w:p w14:paraId="75426D27" w14:textId="77777777" w:rsidR="003235A7" w:rsidRDefault="009C3251" w:rsidP="00BE5707">
                <w:sdt>
                  <w:sdtPr>
                    <w:id w:val="1631594537"/>
                    <w:citation/>
                  </w:sdtPr>
                  <w:sdtContent>
                    <w:r>
                      <w:fldChar w:fldCharType="begin"/>
                    </w:r>
                    <w:r>
                      <w:rPr>
                        <w:lang w:val="en-US"/>
                      </w:rPr>
                      <w:instrText xml:space="preserve"> CITATION Mar78 \l 1033 </w:instrText>
                    </w:r>
                    <w:r>
                      <w:fldChar w:fldCharType="separate"/>
                    </w:r>
                    <w:r>
                      <w:rPr>
                        <w:noProof/>
                        <w:lang w:val="en-US"/>
                      </w:rPr>
                      <w:t>(Rambert at 90)</w:t>
                    </w:r>
                    <w:r>
                      <w:fldChar w:fldCharType="end"/>
                    </w:r>
                  </w:sdtContent>
                </w:sdt>
              </w:p>
            </w:sdtContent>
          </w:sdt>
        </w:tc>
      </w:tr>
    </w:tbl>
    <w:p w14:paraId="2A50EA8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27T12:49:00Z" w:initials="KJ">
    <w:p w14:paraId="7D41C43C" w14:textId="77777777" w:rsidR="009C3251" w:rsidRDefault="009C3251">
      <w:pPr>
        <w:pStyle w:val="CommentText"/>
      </w:pPr>
      <w:r>
        <w:rPr>
          <w:rStyle w:val="CommentReference"/>
        </w:rPr>
        <w:annotationRef/>
      </w:r>
      <w:r>
        <w:t xml:space="preserve">NOTE: </w:t>
      </w:r>
      <w:proofErr w:type="spellStart"/>
      <w:r>
        <w:t>Paratextual</w:t>
      </w:r>
      <w:proofErr w:type="spellEnd"/>
      <w:r>
        <w:t xml:space="preserve"> material is mentioned but not provided nor specific locations mentioned. Copyright contacts are, however. The second document in this folder is the copy/pasted list provided by entry writer</w:t>
      </w:r>
      <w:bookmarkStart w:id="1" w:name="_GoBack"/>
      <w:bookmarkEnd w:id="1"/>
      <w:r>
        <w:t xml:space="preserve"> Susan Jones.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1D151" w14:textId="77777777" w:rsidR="00BE5707" w:rsidRDefault="00BE5707" w:rsidP="007A0D55">
      <w:pPr>
        <w:spacing w:after="0" w:line="240" w:lineRule="auto"/>
      </w:pPr>
      <w:r>
        <w:separator/>
      </w:r>
    </w:p>
  </w:endnote>
  <w:endnote w:type="continuationSeparator" w:id="0">
    <w:p w14:paraId="4D4E7DB5" w14:textId="77777777" w:rsidR="00BE5707" w:rsidRDefault="00BE57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920FE" w14:textId="77777777" w:rsidR="00BE5707" w:rsidRDefault="00BE5707" w:rsidP="007A0D55">
      <w:pPr>
        <w:spacing w:after="0" w:line="240" w:lineRule="auto"/>
      </w:pPr>
      <w:r>
        <w:separator/>
      </w:r>
    </w:p>
  </w:footnote>
  <w:footnote w:type="continuationSeparator" w:id="0">
    <w:p w14:paraId="57046518" w14:textId="77777777" w:rsidR="00BE5707" w:rsidRDefault="00BE57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79B8E" w14:textId="77777777" w:rsidR="00BE5707" w:rsidRDefault="00BE57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A7778B" w14:textId="77777777" w:rsidR="00BE5707" w:rsidRDefault="00BE5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51"/>
    <w:rsid w:val="009D1606"/>
    <w:rsid w:val="009E18A1"/>
    <w:rsid w:val="009E73D7"/>
    <w:rsid w:val="00A27D2C"/>
    <w:rsid w:val="00A76FD9"/>
    <w:rsid w:val="00AB436D"/>
    <w:rsid w:val="00AD2F24"/>
    <w:rsid w:val="00AD4844"/>
    <w:rsid w:val="00B219AE"/>
    <w:rsid w:val="00B33145"/>
    <w:rsid w:val="00B574C9"/>
    <w:rsid w:val="00BC39C9"/>
    <w:rsid w:val="00BE5707"/>
    <w:rsid w:val="00BE5BF7"/>
    <w:rsid w:val="00BF40E1"/>
    <w:rsid w:val="00C27FAB"/>
    <w:rsid w:val="00C358D4"/>
    <w:rsid w:val="00C6296B"/>
    <w:rsid w:val="00CC586D"/>
    <w:rsid w:val="00CF1542"/>
    <w:rsid w:val="00CF3EC5"/>
    <w:rsid w:val="00D656DA"/>
    <w:rsid w:val="00D83300"/>
    <w:rsid w:val="00DC6B48"/>
    <w:rsid w:val="00DF01B0"/>
    <w:rsid w:val="00E45FB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2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B02730F098774EBE929EBFED0E1A5F"/>
        <w:category>
          <w:name w:val="General"/>
          <w:gallery w:val="placeholder"/>
        </w:category>
        <w:types>
          <w:type w:val="bbPlcHdr"/>
        </w:types>
        <w:behaviors>
          <w:behavior w:val="content"/>
        </w:behaviors>
        <w:guid w:val="{BE68F194-550F-1643-906C-9F875696D69B}"/>
      </w:docPartPr>
      <w:docPartBody>
        <w:p w:rsidR="00000000" w:rsidRDefault="004E117A">
          <w:pPr>
            <w:pStyle w:val="ABB02730F098774EBE929EBFED0E1A5F"/>
          </w:pPr>
          <w:r w:rsidRPr="00CC586D">
            <w:rPr>
              <w:rStyle w:val="PlaceholderText"/>
              <w:b/>
              <w:color w:val="FFFFFF" w:themeColor="background1"/>
            </w:rPr>
            <w:t>[Salutation]</w:t>
          </w:r>
        </w:p>
      </w:docPartBody>
    </w:docPart>
    <w:docPart>
      <w:docPartPr>
        <w:name w:val="1C832669930BD94CBFD57CB269FE9B98"/>
        <w:category>
          <w:name w:val="General"/>
          <w:gallery w:val="placeholder"/>
        </w:category>
        <w:types>
          <w:type w:val="bbPlcHdr"/>
        </w:types>
        <w:behaviors>
          <w:behavior w:val="content"/>
        </w:behaviors>
        <w:guid w:val="{9AEDECD5-55EE-6241-B5C1-7C461B89D04F}"/>
      </w:docPartPr>
      <w:docPartBody>
        <w:p w:rsidR="00000000" w:rsidRDefault="004E117A">
          <w:pPr>
            <w:pStyle w:val="1C832669930BD94CBFD57CB269FE9B98"/>
          </w:pPr>
          <w:r>
            <w:rPr>
              <w:rStyle w:val="PlaceholderText"/>
            </w:rPr>
            <w:t>[First name]</w:t>
          </w:r>
        </w:p>
      </w:docPartBody>
    </w:docPart>
    <w:docPart>
      <w:docPartPr>
        <w:name w:val="CCA68C99DC67054E88DFC60A082747B6"/>
        <w:category>
          <w:name w:val="General"/>
          <w:gallery w:val="placeholder"/>
        </w:category>
        <w:types>
          <w:type w:val="bbPlcHdr"/>
        </w:types>
        <w:behaviors>
          <w:behavior w:val="content"/>
        </w:behaviors>
        <w:guid w:val="{3913B4EA-EF89-AB4E-BB27-174CD2A19644}"/>
      </w:docPartPr>
      <w:docPartBody>
        <w:p w:rsidR="00000000" w:rsidRDefault="004E117A">
          <w:pPr>
            <w:pStyle w:val="CCA68C99DC67054E88DFC60A082747B6"/>
          </w:pPr>
          <w:r>
            <w:rPr>
              <w:rStyle w:val="PlaceholderText"/>
            </w:rPr>
            <w:t>[Middle name]</w:t>
          </w:r>
        </w:p>
      </w:docPartBody>
    </w:docPart>
    <w:docPart>
      <w:docPartPr>
        <w:name w:val="5F4C192B2F030A44895ABC5D1B3B9674"/>
        <w:category>
          <w:name w:val="General"/>
          <w:gallery w:val="placeholder"/>
        </w:category>
        <w:types>
          <w:type w:val="bbPlcHdr"/>
        </w:types>
        <w:behaviors>
          <w:behavior w:val="content"/>
        </w:behaviors>
        <w:guid w:val="{87FD9195-DB6A-5342-985B-0D9028143890}"/>
      </w:docPartPr>
      <w:docPartBody>
        <w:p w:rsidR="00000000" w:rsidRDefault="004E117A">
          <w:pPr>
            <w:pStyle w:val="5F4C192B2F030A44895ABC5D1B3B9674"/>
          </w:pPr>
          <w:r>
            <w:rPr>
              <w:rStyle w:val="PlaceholderText"/>
            </w:rPr>
            <w:t>[Last name]</w:t>
          </w:r>
        </w:p>
      </w:docPartBody>
    </w:docPart>
    <w:docPart>
      <w:docPartPr>
        <w:name w:val="1D840C2EAB0F204396F88EF3E16460E9"/>
        <w:category>
          <w:name w:val="General"/>
          <w:gallery w:val="placeholder"/>
        </w:category>
        <w:types>
          <w:type w:val="bbPlcHdr"/>
        </w:types>
        <w:behaviors>
          <w:behavior w:val="content"/>
        </w:behaviors>
        <w:guid w:val="{632F3318-E234-D94A-A447-46AB70878C00}"/>
      </w:docPartPr>
      <w:docPartBody>
        <w:p w:rsidR="00000000" w:rsidRDefault="004E117A">
          <w:pPr>
            <w:pStyle w:val="1D840C2EAB0F204396F88EF3E16460E9"/>
          </w:pPr>
          <w:r>
            <w:rPr>
              <w:rStyle w:val="PlaceholderText"/>
            </w:rPr>
            <w:t>[Enter your biography]</w:t>
          </w:r>
        </w:p>
      </w:docPartBody>
    </w:docPart>
    <w:docPart>
      <w:docPartPr>
        <w:name w:val="37E9024FFAD0444C8E7D353714D58F3A"/>
        <w:category>
          <w:name w:val="General"/>
          <w:gallery w:val="placeholder"/>
        </w:category>
        <w:types>
          <w:type w:val="bbPlcHdr"/>
        </w:types>
        <w:behaviors>
          <w:behavior w:val="content"/>
        </w:behaviors>
        <w:guid w:val="{61B7A7F7-B32A-F743-BDEF-075D2F9772BC}"/>
      </w:docPartPr>
      <w:docPartBody>
        <w:p w:rsidR="00000000" w:rsidRDefault="004E117A">
          <w:pPr>
            <w:pStyle w:val="37E9024FFAD0444C8E7D353714D58F3A"/>
          </w:pPr>
          <w:r>
            <w:rPr>
              <w:rStyle w:val="PlaceholderText"/>
            </w:rPr>
            <w:t>[Enter the institution with which you are affiliated]</w:t>
          </w:r>
        </w:p>
      </w:docPartBody>
    </w:docPart>
    <w:docPart>
      <w:docPartPr>
        <w:name w:val="F5D5CDCB518224449E688FF884641E35"/>
        <w:category>
          <w:name w:val="General"/>
          <w:gallery w:val="placeholder"/>
        </w:category>
        <w:types>
          <w:type w:val="bbPlcHdr"/>
        </w:types>
        <w:behaviors>
          <w:behavior w:val="content"/>
        </w:behaviors>
        <w:guid w:val="{6DB2EC3F-8E8D-EB42-B6A3-617D7238E5C8}"/>
      </w:docPartPr>
      <w:docPartBody>
        <w:p w:rsidR="00000000" w:rsidRDefault="004E117A">
          <w:pPr>
            <w:pStyle w:val="F5D5CDCB518224449E688FF884641E35"/>
          </w:pPr>
          <w:r w:rsidRPr="00EF74F7">
            <w:rPr>
              <w:b/>
              <w:color w:val="808080" w:themeColor="background1" w:themeShade="80"/>
            </w:rPr>
            <w:t>[Enter the headword for your article]</w:t>
          </w:r>
        </w:p>
      </w:docPartBody>
    </w:docPart>
    <w:docPart>
      <w:docPartPr>
        <w:name w:val="057BD51638C801488B9E43B8A78D22BF"/>
        <w:category>
          <w:name w:val="General"/>
          <w:gallery w:val="placeholder"/>
        </w:category>
        <w:types>
          <w:type w:val="bbPlcHdr"/>
        </w:types>
        <w:behaviors>
          <w:behavior w:val="content"/>
        </w:behaviors>
        <w:guid w:val="{593E4BD5-4207-3A46-A52F-DEC481B6E0D5}"/>
      </w:docPartPr>
      <w:docPartBody>
        <w:p w:rsidR="00000000" w:rsidRDefault="004E117A">
          <w:pPr>
            <w:pStyle w:val="057BD51638C801488B9E43B8A78D22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8F8234F1FC54D80ACF117C7C3D188"/>
        <w:category>
          <w:name w:val="General"/>
          <w:gallery w:val="placeholder"/>
        </w:category>
        <w:types>
          <w:type w:val="bbPlcHdr"/>
        </w:types>
        <w:behaviors>
          <w:behavior w:val="content"/>
        </w:behaviors>
        <w:guid w:val="{64E5930B-6CA9-AC48-AF03-0343AB6D0407}"/>
      </w:docPartPr>
      <w:docPartBody>
        <w:p w:rsidR="00000000" w:rsidRDefault="004E117A">
          <w:pPr>
            <w:pStyle w:val="8898F8234F1FC54D80ACF117C7C3D1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10CD0C29DB2147B6D5CE6907499975"/>
        <w:category>
          <w:name w:val="General"/>
          <w:gallery w:val="placeholder"/>
        </w:category>
        <w:types>
          <w:type w:val="bbPlcHdr"/>
        </w:types>
        <w:behaviors>
          <w:behavior w:val="content"/>
        </w:behaviors>
        <w:guid w:val="{24E88C8D-CFDC-A246-80BA-80CC32FF212A}"/>
      </w:docPartPr>
      <w:docPartBody>
        <w:p w:rsidR="00000000" w:rsidRDefault="004E117A">
          <w:pPr>
            <w:pStyle w:val="1910CD0C29DB2147B6D5CE69074999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48CD9561400A458AF0A9E3F3347B7E"/>
        <w:category>
          <w:name w:val="General"/>
          <w:gallery w:val="placeholder"/>
        </w:category>
        <w:types>
          <w:type w:val="bbPlcHdr"/>
        </w:types>
        <w:behaviors>
          <w:behavior w:val="content"/>
        </w:behaviors>
        <w:guid w:val="{D3B5F1DB-6B24-9640-B391-AEF14AFB52D3}"/>
      </w:docPartPr>
      <w:docPartBody>
        <w:p w:rsidR="00000000" w:rsidRDefault="004E117A">
          <w:pPr>
            <w:pStyle w:val="9348CD9561400A458AF0A9E3F3347B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Gil84</b:Tag>
    <b:SourceType>JournalArticle</b:SourceType>
    <b:Guid>{302319BC-E39E-A94C-9BED-00D741475BCE}</b:Guid>
    <b:Author>
      <b:Author>
        <b:NameList>
          <b:Person>
            <b:Last>Gilmour</b:Last>
            <b:First>S.</b:First>
          </b:Person>
        </b:NameList>
      </b:Author>
    </b:Author>
    <b:Title>Remembering Andrée Howard</b:Title>
    <b:Year>1984</b:Year>
    <b:Comments>A reminiscence of Howard during the Rambert years.</b:Comments>
    <b:JournalName>Dance Research</b:JournalName>
    <b:Volume>II</b:Volume>
    <b:Pages>48-60</b:Pages>
    <b:RefOrder>1</b:RefOrder>
  </b:Source>
  <b:Source>
    <b:Tag>Jon08</b:Tag>
    <b:SourceType>JournalArticle</b:SourceType>
    <b:Guid>{9CBEA61F-4625-DD4E-BDF9-0E88AA89D297}</b:Guid>
    <b:Author>
      <b:Author>
        <b:NameList>
          <b:Person>
            <b:Last>Jones</b:Last>
            <b:First>S.</b:First>
          </b:Person>
        </b:NameList>
      </b:Author>
    </b:Author>
    <b:Title>From Text to Dance: Andrée Howard’s The Sailor's Return</b:Title>
    <b:JournalName>Dance Research</b:JournalName>
    <b:Year>2008</b:Year>
    <b:Volume>XXVI</b:Volume>
    <b:Issue>1</b:Issue>
    <b:Pages>1-17</b:Pages>
    <b:Comments>A discussion of the literary and choreographic backgrounds to Howard’s ballet.</b:Comments>
    <b:RefOrder>2</b:RefOrder>
  </b:Source>
  <b:Source>
    <b:Tag>Llo84</b:Tag>
    <b:SourceType>JournalArticle</b:SourceType>
    <b:Guid>{86DC4178-911F-5F49-866B-58BEE58FAD0C}</b:Guid>
    <b:Author>
      <b:Author>
        <b:NameList>
          <b:Person>
            <b:Last>Lloyd</b:Last>
            <b:First>M.</b:First>
          </b:Person>
        </b:NameList>
      </b:Author>
    </b:Author>
    <b:Title>Some Recollections of the English Ballet</b:Title>
    <b:JournalName>Dance Research</b:JournalName>
    <b:Year>1984</b:Year>
    <b:Volume>III</b:Volume>
    <b:Issue>1</b:Issue>
    <b:Pages>39-52</b:Pages>
    <b:Comments>A dancer’s reminiscences of working with Howard during the Rambert years.</b:Comments>
    <b:RefOrder>3</b:RefOrder>
  </b:Source>
  <b:Source>
    <b:Tag>Pri</b:Tag>
    <b:SourceType>JournalArticle</b:SourceType>
    <b:Guid>{EFE1520C-06F7-704D-A72B-D177C51F5A68}</b:Guid>
    <b:Author>
      <b:Author>
        <b:NameList>
          <b:Person>
            <b:Last>Pritchard</b:Last>
            <b:First>J.</b:First>
          </b:Person>
        </b:NameList>
      </b:Author>
    </b:Author>
    <b:Title>The Choreography of Andrée Howard: Some Further Information</b:Title>
    <b:JournalName>Dance Chronicle</b:JournalName>
    <b:Volume>XV</b:Volume>
    <b:Issue>1</b:Issue>
    <b:Pages>77-87</b:Pages>
    <b:Comments>Information amending and augmenting Sorley Walker’s biographical essay.</b:Comments>
    <b:Year>1992</b:Year>
    <b:RefOrder>4</b:RefOrder>
  </b:Source>
  <b:Source>
    <b:Tag>Pri06</b:Tag>
    <b:SourceType>JournalArticle</b:SourceType>
    <b:Guid>{B05C517E-566F-E64E-AA5A-3BA38BDA7BB6}</b:Guid>
    <b:Author>
      <b:Author>
        <b:NameList>
          <b:Person>
            <b:Last>Pritchard</b:Last>
            <b:First>J.</b:First>
          </b:Person>
        </b:NameList>
      </b:Author>
    </b:Author>
    <b:Title>Stepping Through History: The Transformation of Lady into Fox</b:Title>
    <b:JournalName>Dance Now</b:JournalName>
    <b:Year>2006</b:Year>
    <b:Volume>XV</b:Volume>
    <b:Issue>3</b:Issue>
    <b:Pages>30-35</b:Pages>
    <b:Comments>Discussion of a twenty-first century interpretation of Lady into Fox.</b:Comments>
    <b:RefOrder>5</b:RefOrder>
  </b:Source>
  <b:Source>
    <b:Tag>Ram72</b:Tag>
    <b:SourceType>Book</b:SourceType>
    <b:Guid>{9F4344F5-E5D0-3042-BA3F-3E2E4E9A308C}</b:Guid>
    <b:Author>
      <b:Author>
        <b:NameList>
          <b:Person>
            <b:Last>Rambert</b:Last>
            <b:First>M.</b:First>
          </b:Person>
        </b:NameList>
      </b:Author>
    </b:Author>
    <b:Title>Quicksilver: The Autobiography of Marie Rambert</b:Title>
    <b:Publisher>Macmillan</b:Publisher>
    <b:City>London</b:City>
    <b:Year>1972</b:Year>
    <b:Comments>Rambert’s autobiography contains many references to Howard’s life and work.</b:Comments>
    <b:CountryRegion>UK</b:CountryRegion>
    <b:RefOrder>6</b:RefOrder>
  </b:Source>
  <b:Source>
    <b:Tag>Sor90</b:Tag>
    <b:SourceType>JournalArticle</b:SourceType>
    <b:Guid>{2A7AF28A-9ABD-FF49-A369-4F9E7972FF5E}</b:Guid>
    <b:Author>
      <b:Author>
        <b:NameList>
          <b:Person>
            <b:Last>Sorley Walker</b:Last>
            <b:First>K.</b:First>
          </b:Person>
        </b:NameList>
      </b:Author>
    </b:Author>
    <b:Title>The Choreography of André Howard</b:Title>
    <b:Year>1990</b:Year>
    <b:Volume>XIII</b:Volume>
    <b:Pages>265-358</b:Pages>
    <b:Comments>An extensive, detailed biographical essay chronicling Howard’s life and work with appendices listing her works and roles as a dancer.</b:Comments>
    <b:JournalName>Dance Chronicle</b:JournalName>
    <b:Issue>3</b:Issue>
    <b:RefOrder>7</b:RefOrder>
  </b:Source>
  <b:Source>
    <b:Tag>Mui48</b:Tag>
    <b:SourceType>Film</b:SourceType>
    <b:Guid>{536C6AAA-CF17-BA40-959F-8ED9A2085281}</b:Guid>
    <b:Title>Steps of the Ballet</b:Title>
    <b:Year>1948</b:Year>
    <b:Comments>A 25-minute educational film to introduce ballet to a wider audience which features Howard’s choreography and in which she both dances and speaks.</b:Comments>
    <b:Author>
      <b:Director>
        <b:NameList>
          <b:Person>
            <b:Last>Mathieson</b:Last>
            <b:First>Muir</b:First>
          </b:Person>
        </b:NameList>
      </b:Director>
    </b:Author>
    <b:ProductionCompany>British Council</b:ProductionCompany>
    <b:RefOrder>8</b:RefOrder>
  </b:Source>
  <b:Source>
    <b:Tag>Mar76</b:Tag>
    <b:SourceType>Film</b:SourceType>
    <b:Guid>{BFF95354-6C50-D942-8410-C7A0B7678E24}</b:Guid>
    <b:Title>Ballet Rambert: The First Fifty Years</b:Title>
    <b:Author>
      <b:ProducerName>
        <b:NameList>
          <b:Person>
            <b:Last>Dale</b:Last>
            <b:First>Margaret</b:First>
          </b:Person>
        </b:NameList>
      </b:ProducerName>
    </b:Author>
    <b:ProductionCompany>BBC</b:ProductionCompany>
    <b:Year>1976</b:Year>
    <b:Comments>Includes excerpts from several Howard ballets</b:Comments>
    <b:RefOrder>9</b:RefOrder>
  </b:Source>
  <b:Source>
    <b:Tag>Mar78</b:Tag>
    <b:SourceType>Film</b:SourceType>
    <b:Guid>{6BD4AA05-0350-EC41-935C-936080FEEF11}</b:Guid>
    <b:Title>Rambert at 90</b:Title>
    <b:Author>
      <b:ProducerName>
        <b:NameList>
          <b:Person>
            <b:Last>Dale</b:Last>
            <b:First>Margaret</b:First>
          </b:Person>
        </b:NameList>
      </b:ProducerName>
    </b:Author>
    <b:ProductionCompany>BBC</b:ProductionCompany>
    <b:Year>1978</b:Year>
    <b:RefOrder>10</b:RefOrder>
  </b:Source>
</b:Sources>
</file>

<file path=customXml/itemProps1.xml><?xml version="1.0" encoding="utf-8"?>
<ds:datastoreItem xmlns:ds="http://schemas.openxmlformats.org/officeDocument/2006/customXml" ds:itemID="{226003FB-13A1-6F4A-91B6-507E786D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5</Pages>
  <Words>2031</Words>
  <Characters>11580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2015-01-27T20:25:00Z</dcterms:created>
  <dcterms:modified xsi:type="dcterms:W3CDTF">2015-01-27T20:49:00Z</dcterms:modified>
</cp:coreProperties>
</file>