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w:t>
                </w:r>
                <w:commentRangeStart w:id="0"/>
                <w:r w:rsidRPr="00816C49">
                  <w:rPr>
                    <w:rFonts w:ascii="Calibri" w:hAnsi="Calibri"/>
                  </w:rPr>
                  <w:t xml:space="preserve">‘The essence of cinema,’ Eisenstein wrote, ‘does not lie in the images, but in the relation between the images!’ </w:t>
                </w:r>
                <w:commentRangeEnd w:id="0"/>
                <w:r w:rsidR="0066500B">
                  <w:rPr>
                    <w:rStyle w:val="CommentReference"/>
                  </w:rPr>
                  <w:commentReference w:id="0"/>
                </w:r>
                <w:r w:rsidRPr="00816C49">
                  <w:rPr>
                    <w:rFonts w:ascii="Calibri" w:hAnsi="Calibri"/>
                  </w:rPr>
                  <w:t>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w:t>
                </w:r>
                <w:bookmarkStart w:id="1" w:name="_GoBack"/>
                <w:bookmarkEnd w:id="1"/>
                <w:r w:rsidRPr="00816C49">
                  <w:rPr>
                    <w:rFonts w:ascii="Calibri" w:hAnsi="Calibri"/>
                  </w:rPr>
                  <w:t xml:space="preserve">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w:t>
                </w:r>
                <w:r w:rsidRPr="00816C49">
                  <w:rPr>
                    <w:rFonts w:ascii="Calibri" w:hAnsi="Calibri"/>
                  </w:rPr>
                  <w:lastRenderedPageBreak/>
                  <w:t xml:space="preserve">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28999E0F" w:rsidR="003F0D73" w:rsidRPr="00AB6BBB" w:rsidRDefault="0076111A" w:rsidP="0015439A">
                <w:r w:rsidRPr="00816C49">
                  <w:rPr>
                    <w:rFonts w:ascii="Calibri" w:hAnsi="Calibri"/>
                  </w:rPr>
                  <w:t xml:space="preserve">After the mid-1970s, however, cinematic montage waned </w:t>
                </w:r>
                <w:r w:rsidR="00BA75A5">
                  <w:rPr>
                    <w:rFonts w:ascii="Calibri" w:hAnsi="Calibri"/>
                  </w:rPr>
                  <w:t xml:space="preserve">yet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937439" w:rsidP="00A7161F">
                <w:pPr>
                  <w:rPr>
                    <w:rFonts w:ascii="Calibri" w:hAnsi="Calibri"/>
                  </w:rPr>
                </w:pPr>
                <w:sdt>
                  <w:sdtPr>
                    <w:rPr>
                      <w:rFonts w:ascii="Calibri" w:hAnsi="Calibri"/>
                    </w:rPr>
                    <w:id w:val="792716539"/>
                    <w:citation/>
                  </w:sdt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Default="00937439" w:rsidP="00A7161F">
                <w:pPr>
                  <w:rPr>
                    <w:rFonts w:ascii="Calibri" w:hAnsi="Calibri"/>
                  </w:rPr>
                </w:pPr>
                <w:sdt>
                  <w:sdtPr>
                    <w:rPr>
                      <w:rFonts w:ascii="Calibri" w:hAnsi="Calibri"/>
                    </w:rPr>
                    <w:id w:val="1581175045"/>
                    <w:citation/>
                  </w:sdt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56883E73" w14:textId="77777777" w:rsidR="006C300D" w:rsidRPr="00816C49" w:rsidRDefault="006C300D" w:rsidP="00A7161F">
                <w:pPr>
                  <w:rPr>
                    <w:rFonts w:ascii="Calibri" w:hAnsi="Calibri"/>
                  </w:rPr>
                </w:pPr>
              </w:p>
              <w:p w14:paraId="63CA2FD9" w14:textId="745F8BBF" w:rsidR="00A7161F" w:rsidRDefault="006C300D" w:rsidP="00A7161F">
                <w:pPr>
                  <w:rPr>
                    <w:rFonts w:ascii="Calibri" w:hAnsi="Calibri"/>
                  </w:rPr>
                </w:pPr>
                <w:sdt>
                  <w:sdtPr>
                    <w:rPr>
                      <w:rFonts w:ascii="Calibri" w:hAnsi="Calibri"/>
                    </w:rPr>
                    <w:id w:val="-765453005"/>
                    <w:citation/>
                  </w:sdtPr>
                  <w:sdtContent>
                    <w:r w:rsidRPr="00816C49">
                      <w:rPr>
                        <w:rFonts w:ascii="Calibri" w:hAnsi="Calibri"/>
                      </w:rPr>
                      <w:fldChar w:fldCharType="begin"/>
                    </w:r>
                    <w:r>
                      <w:rPr>
                        <w:rFonts w:ascii="Calibri" w:hAnsi="Calibri"/>
                        <w:lang w:val="en-US"/>
                      </w:rPr>
                      <w:instrText xml:space="preserve">CITATION Eis77 \l 1033 </w:instrText>
                    </w:r>
                    <w:r w:rsidRPr="00816C49">
                      <w:rPr>
                        <w:rFonts w:ascii="Calibri" w:hAnsi="Calibri"/>
                      </w:rPr>
                      <w:fldChar w:fldCharType="separate"/>
                    </w:r>
                    <w:r w:rsidRPr="006C300D">
                      <w:rPr>
                        <w:rFonts w:ascii="Calibri" w:hAnsi="Calibri"/>
                        <w:noProof/>
                        <w:lang w:val="en-US"/>
                      </w:rPr>
                      <w:t>(Eisenstein, Film Form)</w:t>
                    </w:r>
                    <w:r w:rsidRPr="00816C49">
                      <w:rPr>
                        <w:rFonts w:ascii="Calibri" w:hAnsi="Calibri"/>
                      </w:rPr>
                      <w:fldChar w:fldCharType="end"/>
                    </w:r>
                  </w:sdtContent>
                </w:sdt>
              </w:p>
              <w:p w14:paraId="69B452B4" w14:textId="77777777" w:rsidR="006C300D" w:rsidRPr="00816C49" w:rsidRDefault="006C300D" w:rsidP="00A7161F">
                <w:pPr>
                  <w:rPr>
                    <w:rFonts w:ascii="Calibri" w:hAnsi="Calibri"/>
                  </w:rPr>
                </w:pPr>
              </w:p>
              <w:p w14:paraId="5E9A92F0" w14:textId="77777777" w:rsidR="00A7161F" w:rsidRPr="00816C49" w:rsidRDefault="00937439" w:rsidP="00A7161F">
                <w:pPr>
                  <w:rPr>
                    <w:rFonts w:ascii="Calibri" w:hAnsi="Calibri"/>
                  </w:rPr>
                </w:pPr>
                <w:sdt>
                  <w:sdtPr>
                    <w:rPr>
                      <w:rFonts w:ascii="Calibri" w:hAnsi="Calibri"/>
                    </w:rPr>
                    <w:id w:val="-1857024808"/>
                    <w:citation/>
                  </w:sdt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937439" w:rsidP="00A7161F">
                <w:pPr>
                  <w:rPr>
                    <w:rFonts w:ascii="Calibri" w:hAnsi="Calibri"/>
                  </w:rPr>
                </w:pPr>
                <w:sdt>
                  <w:sdtPr>
                    <w:rPr>
                      <w:rFonts w:ascii="Calibri" w:hAnsi="Calibri"/>
                    </w:rPr>
                    <w:id w:val="153505507"/>
                    <w:citation/>
                  </w:sdt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937439" w:rsidP="00A7161F">
                <w:sdt>
                  <w:sdtPr>
                    <w:rPr>
                      <w:rFonts w:ascii="Calibri" w:hAnsi="Calibri"/>
                    </w:rPr>
                    <w:id w:val="-885720117"/>
                    <w:citation/>
                  </w:sdt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placeholder>
              <w:docPart w:val="5EDC017D800A3C4B877F7D8A17CDBC77"/>
            </w:placeholder>
            <w:showingPlcHdr/>
            <w:dropDownList>
              <w:listItem w:displayText="Dr." w:value="Dr."/>
              <w:listItem w:displayText="Prof." w:value="Prof."/>
            </w:dropDownList>
          </w:sdt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text/>
          </w:sdt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showingPlcHdr/>
            <w:text/>
          </w:sdt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text/>
          </w:sdt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showingPlcHdr/>
          </w:sdt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text/>
          </w:sdt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text/>
          </w:sdt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Content>
            <w:tc>
              <w:tcPr>
                <w:tcW w:w="9016" w:type="dxa"/>
                <w:tcMar>
                  <w:top w:w="113" w:type="dxa"/>
                  <w:bottom w:w="113" w:type="dxa"/>
                </w:tcMar>
              </w:tcPr>
              <w:p w14:paraId="733F4FD5" w14:textId="2C08213B" w:rsidR="00F253F1" w:rsidRPr="00816C49" w:rsidRDefault="00937439" w:rsidP="00DA259F">
                <w:pPr>
                  <w:rPr>
                    <w:rFonts w:ascii="Calibri" w:hAnsi="Calibri"/>
                  </w:rPr>
                </w:pPr>
                <w:sdt>
                  <w:sdtPr>
                    <w:rPr>
                      <w:rFonts w:ascii="Calibri" w:hAnsi="Calibri"/>
                    </w:rPr>
                    <w:alias w:val="Abstract"/>
                    <w:tag w:val="abstract"/>
                    <w:id w:val="-1630389141"/>
                    <w:showingPlcHdr/>
                  </w:sdt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Content>
            <w:sdt>
              <w:sdtPr>
                <w:rPr>
                  <w:rFonts w:ascii="Calibri" w:hAnsi="Calibri"/>
                </w:rPr>
                <w:alias w:val="Article text"/>
                <w:tag w:val="articleText"/>
                <w:id w:val="-1168330129"/>
              </w:sdtPr>
              <w:sdtContent>
                <w:tc>
                  <w:tcPr>
                    <w:tcW w:w="9016" w:type="dxa"/>
                    <w:tcMar>
                      <w:top w:w="113" w:type="dxa"/>
                      <w:bottom w:w="113" w:type="dxa"/>
                    </w:tcMar>
                  </w:tcPr>
                  <w:sdt>
                    <w:sdtPr>
                      <w:rPr>
                        <w:rFonts w:ascii="Calibri" w:hAnsi="Calibri"/>
                      </w:rPr>
                      <w:alias w:val="Abstract"/>
                      <w:tag w:val="abstract"/>
                      <w:id w:val="1905878402"/>
                    </w:sdt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Content>
              <w:p w14:paraId="35ECB668" w14:textId="77777777" w:rsidR="00200676" w:rsidRPr="00816C49" w:rsidRDefault="00937439" w:rsidP="00200676">
                <w:pPr>
                  <w:rPr>
                    <w:rFonts w:ascii="Calibri" w:hAnsi="Calibri"/>
                  </w:rPr>
                </w:pPr>
                <w:sdt>
                  <w:sdtPr>
                    <w:rPr>
                      <w:rFonts w:ascii="Calibri" w:hAnsi="Calibri"/>
                    </w:rPr>
                    <w:id w:val="-2039816004"/>
                    <w:citation/>
                  </w:sdt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Content>
                  <w:p w14:paraId="551E7A83" w14:textId="77777777" w:rsidR="00200676" w:rsidRPr="00816C49" w:rsidRDefault="00937439" w:rsidP="00200676">
                    <w:pPr>
                      <w:rPr>
                        <w:rFonts w:ascii="Calibri" w:hAnsi="Calibri"/>
                      </w:rPr>
                    </w:pPr>
                    <w:sdt>
                      <w:sdtPr>
                        <w:rPr>
                          <w:rFonts w:ascii="Calibri" w:hAnsi="Calibri"/>
                        </w:rPr>
                        <w:id w:val="1846825598"/>
                        <w:citation/>
                      </w:sdt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937439" w:rsidP="00200676">
                    <w:pPr>
                      <w:rPr>
                        <w:rFonts w:ascii="Calibri" w:hAnsi="Calibri"/>
                      </w:rPr>
                    </w:pPr>
                    <w:sdt>
                      <w:sdtPr>
                        <w:rPr>
                          <w:rFonts w:ascii="Calibri" w:hAnsi="Calibri"/>
                        </w:rPr>
                        <w:id w:val="896016631"/>
                        <w:citation/>
                      </w:sdt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937439" w:rsidP="00200676">
                    <w:pPr>
                      <w:rPr>
                        <w:rFonts w:ascii="Calibri" w:hAnsi="Calibri"/>
                      </w:rPr>
                    </w:pPr>
                    <w:sdt>
                      <w:sdtPr>
                        <w:rPr>
                          <w:rFonts w:ascii="Calibri" w:hAnsi="Calibri"/>
                        </w:rPr>
                        <w:id w:val="322710262"/>
                        <w:citation/>
                      </w:sdt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937439" w:rsidP="00200676">
                    <w:pPr>
                      <w:rPr>
                        <w:rFonts w:ascii="Calibri" w:hAnsi="Calibri"/>
                      </w:rPr>
                    </w:pPr>
                    <w:sdt>
                      <w:sdtPr>
                        <w:rPr>
                          <w:rFonts w:ascii="Calibri" w:hAnsi="Calibri"/>
                        </w:rPr>
                        <w:id w:val="1794715384"/>
                        <w:citation/>
                      </w:sdt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426A73">
        <w:sdt>
          <w:sdtPr>
            <w:rPr>
              <w:rFonts w:ascii="Calibri" w:hAnsi="Calibri"/>
            </w:rPr>
            <w:alias w:val="Abstract"/>
            <w:tag w:val="abstract"/>
            <w:id w:val="2068147052"/>
            <w:showingPlcHdr/>
          </w:sdtPr>
          <w:sdtContent>
            <w:tc>
              <w:tcPr>
                <w:tcW w:w="9016" w:type="dxa"/>
                <w:tcMar>
                  <w:top w:w="113" w:type="dxa"/>
                  <w:bottom w:w="113" w:type="dxa"/>
                </w:tcMar>
              </w:tcPr>
              <w:p w14:paraId="29B2DACD" w14:textId="3CF47D1B" w:rsidR="00F253F1" w:rsidRPr="00816C49" w:rsidRDefault="004E7A24" w:rsidP="004E7A24">
                <w:pPr>
                  <w:rPr>
                    <w:rFonts w:ascii="Calibri" w:hAnsi="Calibri"/>
                  </w:rPr>
                </w:pPr>
                <w:r>
                  <w:rPr>
                    <w:rFonts w:ascii="Calibri" w:hAnsi="Calibri"/>
                  </w:rPr>
                  <w:t xml:space="preserve">     </w:t>
                </w:r>
              </w:p>
            </w:tc>
          </w:sdtContent>
        </w:sdt>
      </w:tr>
      <w:tr w:rsidR="00F253F1" w:rsidRPr="00816C49" w14:paraId="31006048" w14:textId="77777777" w:rsidTr="00426A73">
        <w:sdt>
          <w:sdtPr>
            <w:rPr>
              <w:rFonts w:ascii="Calibri" w:hAnsi="Calibri"/>
            </w:rPr>
            <w:alias w:val="Article text"/>
            <w:tag w:val="articleText"/>
            <w:id w:val="2033530987"/>
          </w:sdt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Content>
              <w:p w14:paraId="77709E57" w14:textId="74A59D97" w:rsidR="00A7161F" w:rsidRPr="00816C49" w:rsidRDefault="00937439" w:rsidP="00A17132">
                <w:pPr>
                  <w:rPr>
                    <w:rFonts w:ascii="Calibri" w:hAnsi="Calibri"/>
                  </w:rPr>
                </w:pPr>
                <w:sdt>
                  <w:sdtPr>
                    <w:rPr>
                      <w:rFonts w:ascii="Calibri" w:hAnsi="Calibri"/>
                    </w:rPr>
                    <w:id w:val="1239298114"/>
                    <w:citation/>
                  </w:sdt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937439" w:rsidP="00A17132">
                <w:pPr>
                  <w:rPr>
                    <w:rFonts w:ascii="Calibri" w:hAnsi="Calibri"/>
                  </w:rPr>
                </w:pPr>
                <w:sdt>
                  <w:sdtPr>
                    <w:rPr>
                      <w:rFonts w:ascii="Calibri" w:hAnsi="Calibri"/>
                    </w:rPr>
                    <w:id w:val="970322759"/>
                    <w:citation/>
                  </w:sdt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937439" w:rsidP="00A17132">
                <w:pPr>
                  <w:rPr>
                    <w:rFonts w:ascii="Calibri" w:hAnsi="Calibri"/>
                  </w:rPr>
                </w:pPr>
                <w:sdt>
                  <w:sdtPr>
                    <w:rPr>
                      <w:rFonts w:ascii="Calibri" w:hAnsi="Calibri"/>
                    </w:rPr>
                    <w:id w:val="-449162872"/>
                    <w:citation/>
                  </w:sdt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937439" w:rsidP="00A17132">
                <w:pPr>
                  <w:rPr>
                    <w:rFonts w:ascii="Calibri" w:hAnsi="Calibri"/>
                  </w:rPr>
                </w:pPr>
                <w:sdt>
                  <w:sdtPr>
                    <w:rPr>
                      <w:rFonts w:ascii="Calibri" w:hAnsi="Calibri"/>
                    </w:rPr>
                    <w:id w:val="-325286667"/>
                    <w:citation/>
                  </w:sdt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937439" w:rsidP="00A17132">
                <w:pPr>
                  <w:rPr>
                    <w:rFonts w:ascii="Calibri" w:hAnsi="Calibri"/>
                  </w:rPr>
                </w:pPr>
                <w:sdt>
                  <w:sdtPr>
                    <w:rPr>
                      <w:rFonts w:ascii="Calibri" w:hAnsi="Calibri"/>
                    </w:rPr>
                    <w:id w:val="-408622933"/>
                    <w:citation/>
                  </w:sdt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937439" w:rsidP="00D11A77">
                <w:pPr>
                  <w:rPr>
                    <w:rFonts w:ascii="Calibri" w:hAnsi="Calibri"/>
                  </w:rPr>
                </w:pPr>
                <w:sdt>
                  <w:sdtPr>
                    <w:rPr>
                      <w:rFonts w:ascii="Calibri" w:hAnsi="Calibri"/>
                    </w:rPr>
                    <w:id w:val="-937063240"/>
                    <w:citation/>
                  </w:sdt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10T17:30:00Z" w:initials="LD">
    <w:p w14:paraId="664CD7EA" w14:textId="7217B58B" w:rsidR="00937439" w:rsidRDefault="00937439">
      <w:pPr>
        <w:pStyle w:val="CommentText"/>
      </w:pPr>
      <w:r>
        <w:rPr>
          <w:rStyle w:val="CommentReference"/>
        </w:rPr>
        <w:annotationRef/>
      </w:r>
      <w:r w:rsidR="00645494">
        <w:t>Can you provide a</w:t>
      </w:r>
      <w:r>
        <w:t xml:space="preserve"> sou</w:t>
      </w:r>
      <w:r w:rsidR="00645494">
        <w:t>rce for</w:t>
      </w:r>
      <w:r>
        <w:t xml:space="preserve">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937439" w:rsidRDefault="00937439" w:rsidP="007A0D55">
      <w:pPr>
        <w:spacing w:after="0" w:line="240" w:lineRule="auto"/>
      </w:pPr>
      <w:r>
        <w:separator/>
      </w:r>
    </w:p>
  </w:endnote>
  <w:endnote w:type="continuationSeparator" w:id="0">
    <w:p w14:paraId="1CC059DB" w14:textId="77777777" w:rsidR="00937439" w:rsidRDefault="009374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937439" w:rsidRDefault="00937439" w:rsidP="007A0D55">
      <w:pPr>
        <w:spacing w:after="0" w:line="240" w:lineRule="auto"/>
      </w:pPr>
      <w:r>
        <w:separator/>
      </w:r>
    </w:p>
  </w:footnote>
  <w:footnote w:type="continuationSeparator" w:id="0">
    <w:p w14:paraId="1A8EFB25" w14:textId="77777777" w:rsidR="00937439" w:rsidRDefault="009374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937439" w:rsidRPr="00566268" w:rsidRDefault="00937439">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937439" w:rsidRDefault="009374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45494"/>
    <w:rsid w:val="0066500B"/>
    <w:rsid w:val="006917AA"/>
    <w:rsid w:val="006C300D"/>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22950"/>
    <w:rsid w:val="00937439"/>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C767A7"/>
    <w:rsid w:val="00D52A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3</b:RefOrder>
  </b:Source>
</b:Sources>
</file>

<file path=customXml/itemProps1.xml><?xml version="1.0" encoding="utf-8"?>
<ds:datastoreItem xmlns:ds="http://schemas.openxmlformats.org/officeDocument/2006/customXml" ds:itemID="{3AE65949-AE05-A445-AC0C-CC1FA424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7</Pages>
  <Words>2853</Words>
  <Characters>16263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6</cp:revision>
  <dcterms:created xsi:type="dcterms:W3CDTF">2014-10-28T19:57:00Z</dcterms:created>
  <dcterms:modified xsi:type="dcterms:W3CDTF">2014-11-10T22:30:00Z</dcterms:modified>
</cp:coreProperties>
</file>