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F7E1F2BB110C645AE17B969606E516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E1BEC451F1A6E4DBC19DE6F42068AAB"/>
            </w:placeholder>
            <w:text/>
          </w:sdtPr>
          <w:sdtContent>
            <w:tc>
              <w:tcPr>
                <w:tcW w:w="2073" w:type="dxa"/>
              </w:tcPr>
              <w:p w:rsidR="00B574C9" w:rsidRDefault="00455C01" w:rsidP="00455C01">
                <w:r>
                  <w:t>Alex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1CC2603E15E7644B46A0C59F97C5DD4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4B43CC3E173544C81CC6E0DBDA49532"/>
            </w:placeholder>
            <w:text/>
          </w:sdtPr>
          <w:sdtContent>
            <w:tc>
              <w:tcPr>
                <w:tcW w:w="2642" w:type="dxa"/>
              </w:tcPr>
              <w:p w:rsidR="00B574C9" w:rsidRDefault="00455C01" w:rsidP="00455C01">
                <w:proofErr w:type="spellStart"/>
                <w:r>
                  <w:t>Seggerman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AFC90E8F8D9704EA7BD42BB5B278B5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hAnsi="Calibri"/>
            </w:rPr>
            <w:alias w:val="Affiliation"/>
            <w:tag w:val="affiliation"/>
            <w:id w:val="2012937915"/>
            <w:placeholder>
              <w:docPart w:val="C60FC821A8B9E54B8DD3B7E4AEC92793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455C01" w:rsidP="00B574C9">
                <w:r w:rsidRPr="00455C01">
                  <w:rPr>
                    <w:rFonts w:ascii="Calibri" w:eastAsia="Times New Roman" w:hAnsi="Calibri" w:cs="Times New Roman"/>
                    <w:lang w:val="en-CA"/>
                  </w:rPr>
                  <w:t>Hampshire College | Smith College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7754D6D31185594AAF27DDA59D3A313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55C01" w:rsidP="00455C01">
                <w:pPr>
                  <w:rPr>
                    <w:b/>
                  </w:rPr>
                </w:pPr>
                <w:proofErr w:type="spellStart"/>
                <w:r w:rsidRPr="00455C01">
                  <w:t>Mukhtar</w:t>
                </w:r>
                <w:proofErr w:type="spellEnd"/>
                <w:r w:rsidRPr="00455C01">
                  <w:t>, Mahmoud (1891-1934)</w:t>
                </w:r>
              </w:p>
            </w:tc>
          </w:sdtContent>
        </w:sdt>
      </w:tr>
      <w:tr w:rsidR="00464699" w:rsidTr="00455C01">
        <w:sdt>
          <w:sdtPr>
            <w:alias w:val="Variant headwords"/>
            <w:tag w:val="variantHeadwords"/>
            <w:id w:val="173464402"/>
            <w:placeholder>
              <w:docPart w:val="A71C27B0B2892D4B9310130F7B5B754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22F1332C1EC5440BF93B9FB503CF45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455C01" w:rsidRDefault="00455C01" w:rsidP="00E85A05">
                <w:pPr>
                  <w:rPr>
                    <w:rFonts w:ascii="Times New Roman" w:hAnsi="Times New Roman" w:cs="Times New Roman"/>
                  </w:rPr>
                </w:pPr>
                <w:r w:rsidRPr="00455C01">
                  <w:rPr>
                    <w:rFonts w:ascii="Calibri" w:hAnsi="Calibri" w:cs="Times New Roman"/>
                  </w:rPr>
                  <w:t xml:space="preserve">Mahmoud </w:t>
                </w:r>
                <w:proofErr w:type="spellStart"/>
                <w:r w:rsidRPr="00455C01">
                  <w:rPr>
                    <w:rFonts w:ascii="Calibri" w:hAnsi="Calibri" w:cs="Times New Roman"/>
                  </w:rPr>
                  <w:t>Mukhtar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 deftly blended </w:t>
                </w:r>
                <w:proofErr w:type="spellStart"/>
                <w:r w:rsidRPr="00455C01">
                  <w:rPr>
                    <w:rFonts w:ascii="Calibri" w:hAnsi="Calibri" w:cs="Times New Roman"/>
                  </w:rPr>
                  <w:t>Pharaonism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 with neoclassicism to create modern, nationalist sculpture. Born in 1891 in </w:t>
                </w:r>
                <w:proofErr w:type="spellStart"/>
                <w:r w:rsidRPr="00455C01">
                  <w:rPr>
                    <w:rFonts w:ascii="Calibri" w:hAnsi="Calibri" w:cs="Times New Roman"/>
                  </w:rPr>
                  <w:t>Tanbara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, he enrolled in the first class at the </w:t>
                </w:r>
                <w:proofErr w:type="spellStart"/>
                <w:r w:rsidRPr="00455C01">
                  <w:rPr>
                    <w:rFonts w:ascii="Calibri" w:hAnsi="Calibri" w:cs="Times New Roman"/>
                  </w:rPr>
                  <w:t>École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455C01">
                  <w:rPr>
                    <w:rFonts w:ascii="Calibri" w:hAnsi="Calibri" w:cs="Times New Roman"/>
                  </w:rPr>
                  <w:t>Égyptienne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 des Beaux-Arts in 1908. After graduating top of his class in 1912, </w:t>
                </w:r>
                <w:proofErr w:type="spellStart"/>
                <w:r w:rsidRPr="00455C01">
                  <w:rPr>
                    <w:rFonts w:ascii="Calibri" w:hAnsi="Calibri" w:cs="Times New Roman"/>
                  </w:rPr>
                  <w:t>Mukhtar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455C01">
                  <w:rPr>
                    <w:rFonts w:ascii="Calibri" w:hAnsi="Calibri" w:cs="Times New Roman"/>
                  </w:rPr>
                  <w:t>traveled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 to Paris on government scholarship to join the studio of French sculptor, Jules-Felix </w:t>
                </w:r>
                <w:proofErr w:type="spellStart"/>
                <w:r w:rsidRPr="00455C01">
                  <w:rPr>
                    <w:rFonts w:ascii="Calibri" w:hAnsi="Calibri" w:cs="Times New Roman"/>
                  </w:rPr>
                  <w:t>Coutan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 at the </w:t>
                </w:r>
                <w:proofErr w:type="spellStart"/>
                <w:r w:rsidRPr="00455C01">
                  <w:rPr>
                    <w:rFonts w:ascii="Calibri" w:hAnsi="Calibri" w:cs="Times New Roman"/>
                  </w:rPr>
                  <w:t>École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 des Beaux-Arts. In response to the 1919 Revolution in Egypt, he sculpted </w:t>
                </w:r>
                <w:proofErr w:type="spellStart"/>
                <w:r w:rsidRPr="00455C01">
                  <w:rPr>
                    <w:rFonts w:ascii="Calibri" w:hAnsi="Calibri" w:cs="Times New Roman"/>
                    <w:i/>
                  </w:rPr>
                  <w:t>Nahdat</w:t>
                </w:r>
                <w:proofErr w:type="spellEnd"/>
                <w:r w:rsidRPr="00455C01">
                  <w:rPr>
                    <w:rFonts w:ascii="Calibri" w:hAnsi="Calibri" w:cs="Times New Roman"/>
                    <w:i/>
                  </w:rPr>
                  <w:t xml:space="preserve"> </w:t>
                </w:r>
                <w:proofErr w:type="spellStart"/>
                <w:r w:rsidRPr="00455C01">
                  <w:rPr>
                    <w:rFonts w:ascii="Calibri" w:hAnsi="Calibri" w:cs="Times New Roman"/>
                    <w:i/>
                  </w:rPr>
                  <w:t>Misr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 (Egypt’s Reawakening) for the Salon des Artistes </w:t>
                </w:r>
                <w:proofErr w:type="spellStart"/>
                <w:r w:rsidRPr="00455C01">
                  <w:rPr>
                    <w:rFonts w:ascii="Calibri" w:hAnsi="Calibri" w:cs="Times New Roman"/>
                  </w:rPr>
                  <w:t>Français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 in 1920. The work depicts a peasant and a sphinx, representing the magnificent history of ancient Egypt and the agricultural prowess of the Nile Valley. After many years of public fundraising, a monumental version of the sculpture was unveiled in 1928 in Bab el-</w:t>
                </w:r>
                <w:proofErr w:type="spellStart"/>
                <w:r w:rsidRPr="00455C01">
                  <w:rPr>
                    <w:rFonts w:ascii="Calibri" w:hAnsi="Calibri" w:cs="Times New Roman"/>
                  </w:rPr>
                  <w:t>Hadid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 Square, facing the Cairo railway station. Because of </w:t>
                </w:r>
                <w:proofErr w:type="spellStart"/>
                <w:r w:rsidRPr="00455C01">
                  <w:rPr>
                    <w:rFonts w:ascii="Calibri" w:hAnsi="Calibri" w:cs="Times New Roman"/>
                    <w:i/>
                  </w:rPr>
                  <w:t>Nahdat</w:t>
                </w:r>
                <w:proofErr w:type="spellEnd"/>
                <w:r w:rsidRPr="00455C01">
                  <w:rPr>
                    <w:rFonts w:ascii="Calibri" w:hAnsi="Calibri" w:cs="Times New Roman"/>
                    <w:i/>
                  </w:rPr>
                  <w:t xml:space="preserve"> </w:t>
                </w:r>
                <w:proofErr w:type="spellStart"/>
                <w:r w:rsidRPr="00455C01">
                  <w:rPr>
                    <w:rFonts w:ascii="Calibri" w:hAnsi="Calibri" w:cs="Times New Roman"/>
                    <w:i/>
                  </w:rPr>
                  <w:t>Misr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, </w:t>
                </w:r>
                <w:proofErr w:type="spellStart"/>
                <w:r w:rsidRPr="00455C01">
                  <w:rPr>
                    <w:rFonts w:ascii="Calibri" w:hAnsi="Calibri" w:cs="Times New Roman"/>
                  </w:rPr>
                  <w:t>Mukhtar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 rose to national prominence, maintaining studios in Cairo and Paris. In 1930, he exhibited bronze, marble, and stone pieces at the renowned </w:t>
                </w:r>
                <w:proofErr w:type="spellStart"/>
                <w:r w:rsidRPr="00455C01">
                  <w:rPr>
                    <w:rFonts w:ascii="Calibri" w:hAnsi="Calibri" w:cs="Times New Roman"/>
                  </w:rPr>
                  <w:t>Bernheim-Jeune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 Gallery in Paris. In these works, he blended </w:t>
                </w:r>
                <w:proofErr w:type="spellStart"/>
                <w:r w:rsidRPr="00455C01">
                  <w:rPr>
                    <w:rFonts w:ascii="Calibri" w:hAnsi="Calibri" w:cs="Times New Roman"/>
                  </w:rPr>
                  <w:t>Pharaonic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 imagery with a stylized, classicist aesthetic. The most famous, </w:t>
                </w:r>
                <w:proofErr w:type="spellStart"/>
                <w:r w:rsidRPr="00455C01">
                  <w:rPr>
                    <w:rFonts w:ascii="Calibri" w:hAnsi="Calibri" w:cs="Times New Roman"/>
                    <w:i/>
                  </w:rPr>
                  <w:t>Khamasin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, portrays a peasant woman battling the sand storms, her cloak blown back, revealing her body. </w:t>
                </w:r>
                <w:proofErr w:type="spellStart"/>
                <w:r w:rsidRPr="00455C01">
                  <w:rPr>
                    <w:rFonts w:ascii="Calibri" w:hAnsi="Calibri" w:cs="Times New Roman"/>
                  </w:rPr>
                  <w:t>Mukhtar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 continues to be esteemed as Egypt’s most famous sculptor despite his early death of </w:t>
                </w:r>
                <w:proofErr w:type="spellStart"/>
                <w:r w:rsidRPr="00455C01">
                  <w:rPr>
                    <w:rFonts w:ascii="Calibri" w:hAnsi="Calibri" w:cs="Times New Roman"/>
                  </w:rPr>
                  <w:t>leukemia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 in 1934. His works, </w:t>
                </w:r>
                <w:proofErr w:type="spellStart"/>
                <w:r w:rsidRPr="00455C01">
                  <w:rPr>
                    <w:rFonts w:ascii="Calibri" w:hAnsi="Calibri" w:cs="Times New Roman"/>
                  </w:rPr>
                  <w:t>Nahdat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 </w:t>
                </w:r>
                <w:proofErr w:type="spellStart"/>
                <w:r w:rsidRPr="00455C01">
                  <w:rPr>
                    <w:rFonts w:ascii="Calibri" w:hAnsi="Calibri" w:cs="Times New Roman"/>
                  </w:rPr>
                  <w:t>Misr</w:t>
                </w:r>
                <w:proofErr w:type="spellEnd"/>
                <w:r w:rsidRPr="00455C01">
                  <w:rPr>
                    <w:rFonts w:ascii="Calibri" w:hAnsi="Calibri" w:cs="Times New Roman"/>
                  </w:rPr>
                  <w:t xml:space="preserve"> in particular, played an active role in larger history of modern Egypt.</w:t>
                </w:r>
                <w:r w:rsidRPr="008B6CFD">
                  <w:rPr>
                    <w:rFonts w:ascii="Times New Roman" w:hAnsi="Times New Roman" w:cs="Times New Roman"/>
                  </w:rPr>
                  <w:t xml:space="preserve">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1904F4524888947B241C1784874B1DB"/>
            </w:placeholder>
          </w:sdtPr>
          <w:sdtContent>
            <w:sdt>
              <w:sdtPr>
                <w:alias w:val="Abstract"/>
                <w:tag w:val="abstract"/>
                <w:id w:val="1355611391"/>
                <w:placeholder>
                  <w:docPart w:val="13A6B6B3BC116643971A5159F182B354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3F0D73" w:rsidRDefault="00455C01" w:rsidP="00C27FAB">
                    <w:r w:rsidRPr="00455C01">
                      <w:rPr>
                        <w:rFonts w:ascii="Calibri" w:hAnsi="Calibri" w:cs="Times New Roman"/>
                      </w:rPr>
                      <w:t xml:space="preserve">Mahmoud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</w:rPr>
                      <w:t>Mukhtar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 deftly blended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</w:rPr>
                      <w:t>Pharaonism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 with neoclassicism to create modern, nationalist sculpture. Born in 1891 in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</w:rPr>
                      <w:t>Tanbara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, he enrolled in the first class at the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</w:rPr>
                      <w:t>École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</w:rPr>
                      <w:t>Égyptienne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 des Beaux-Arts in 1908. After graduating top of his class in 1912,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</w:rPr>
                      <w:t>Mukhtar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</w:rPr>
                      <w:t>traveled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 to Paris on government scholarship to join the studio of French sculptor, Jules-Felix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</w:rPr>
                      <w:t>Coutan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 at the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</w:rPr>
                      <w:t>École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 des Beaux-Arts. In response to the 1919 Revolution in Egypt, he sculpted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  <w:i/>
                      </w:rPr>
                      <w:t>Nahdat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  <w:i/>
                      </w:rPr>
                      <w:t xml:space="preserve">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  <w:i/>
                      </w:rPr>
                      <w:t>Misr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 (Egypt’s Reawakening) for the Salon des Artistes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</w:rPr>
                      <w:t>Français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 in 1920. The work depicts a peasant and a sphinx, representing the magnificent history of ancient Egypt and the agricultural prowess of the Nile Valley. After many years of public fundraising, a monumental version of the sculpture was unveiled in 1928 in Bab el-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</w:rPr>
                      <w:t>Hadid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 Square, facing the Cairo railway station. Because of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  <w:i/>
                      </w:rPr>
                      <w:t>Nahdat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  <w:i/>
                      </w:rPr>
                      <w:t xml:space="preserve">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  <w:i/>
                      </w:rPr>
                      <w:t>Misr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,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</w:rPr>
                      <w:t>Mukhtar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 rose to national prominence, maintaining studios in Cairo and Paris. In 1930, he exhibited bronze, marble, and stone pieces at the renowned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</w:rPr>
                      <w:t>Bernheim-Jeune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 Gallery in Paris. In these works, he blended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</w:rPr>
                      <w:t>Pharaonic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 imagery with a stylized, classicist aesthetic. The most famous,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  <w:i/>
                      </w:rPr>
                      <w:t>Khamasin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, portrays a peasant woman battling the sand storms, her cloak blown back, revealing her body.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</w:rPr>
                      <w:t>Mukhtar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 continues to be esteemed as Egypt’s most famous sculptor despite his early death of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</w:rPr>
                      <w:t>leukemia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 in 1934. His works,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</w:rPr>
                      <w:t>Nahdat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 </w:t>
                    </w:r>
                    <w:proofErr w:type="spellStart"/>
                    <w:r w:rsidRPr="00455C01">
                      <w:rPr>
                        <w:rFonts w:ascii="Calibri" w:hAnsi="Calibri" w:cs="Times New Roman"/>
                      </w:rPr>
                      <w:t>Misr</w:t>
                    </w:r>
                    <w:proofErr w:type="spellEnd"/>
                    <w:r w:rsidRPr="00455C01">
                      <w:rPr>
                        <w:rFonts w:ascii="Calibri" w:hAnsi="Calibri" w:cs="Times New Roman"/>
                      </w:rPr>
                      <w:t xml:space="preserve"> in particular, played an active role in larger history of modern Egypt.</w:t>
                    </w:r>
                    <w:r w:rsidRPr="008B6CFD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82116856194524BB103FACE36F96849"/>
              </w:placeholder>
            </w:sdtPr>
            <w:sdtContent>
              <w:p w:rsidR="00455C01" w:rsidRDefault="00455C01" w:rsidP="00455C01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1857536929"/>
                    <w:citation/>
                  </w:sdtPr>
                  <w:sdtContent>
                    <w:r>
                      <w:rPr>
                        <w:rFonts w:ascii="Calibri" w:hAnsi="Calibri" w:cs="Times New Roman"/>
                      </w:rPr>
                      <w:fldChar w:fldCharType="begin"/>
                    </w:r>
                    <w:r>
                      <w:rPr>
                        <w:rFonts w:ascii="Calibri" w:hAnsi="Calibri" w:cs="Times New Roman"/>
                        <w:lang w:val="en-US"/>
                      </w:rPr>
                      <w:instrText xml:space="preserve"> CITATION Abū64 \l 1033 </w:instrText>
                    </w:r>
                    <w:r>
                      <w:rPr>
                        <w:rFonts w:ascii="Calibri" w:hAnsi="Calibri" w:cs="Times New Roman"/>
                      </w:rPr>
                      <w:fldChar w:fldCharType="separate"/>
                    </w:r>
                    <w:r w:rsidRPr="00455C01">
                      <w:rPr>
                        <w:rFonts w:ascii="Calibri" w:hAnsi="Calibri" w:cs="Times New Roman"/>
                        <w:noProof/>
                        <w:lang w:val="en-US"/>
                      </w:rPr>
                      <w:t>(Abū Ghāzī)</w:t>
                    </w:r>
                    <w:r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:rsidR="00455C01" w:rsidRPr="00455C01" w:rsidRDefault="00455C01" w:rsidP="00455C01">
                <w:pPr>
                  <w:rPr>
                    <w:rFonts w:ascii="Calibri" w:hAnsi="Calibri" w:cs="Times New Roman"/>
                  </w:rPr>
                </w:pPr>
              </w:p>
              <w:p w:rsidR="00455C01" w:rsidRDefault="00455C01" w:rsidP="00455C01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231290484"/>
                    <w:citation/>
                  </w:sdtPr>
                  <w:sdtContent>
                    <w:r>
                      <w:rPr>
                        <w:rFonts w:ascii="Calibri" w:hAnsi="Calibri" w:cs="Times New Roman"/>
                      </w:rPr>
                      <w:fldChar w:fldCharType="begin"/>
                    </w:r>
                    <w:r>
                      <w:rPr>
                        <w:rFonts w:ascii="Calibri" w:hAnsi="Calibri" w:cs="Times New Roman"/>
                        <w:lang w:val="en-US"/>
                      </w:rPr>
                      <w:instrText xml:space="preserve">CITATION Muk88 \l 1033 </w:instrText>
                    </w:r>
                    <w:r>
                      <w:rPr>
                        <w:rFonts w:ascii="Calibri" w:hAnsi="Calibri" w:cs="Times New Roman"/>
                      </w:rPr>
                      <w:fldChar w:fldCharType="separate"/>
                    </w:r>
                    <w:r w:rsidRPr="00455C01">
                      <w:rPr>
                        <w:rFonts w:ascii="Calibri" w:hAnsi="Calibri" w:cs="Times New Roman"/>
                        <w:noProof/>
                        <w:lang w:val="en-US"/>
                      </w:rPr>
                      <w:t>(Abū Ghāzī, Mukhtār, ḥayātuhu wa-fannuh : "maʻa 44 ṣūrah li-arwaʻ āthār Mukhtār wa-ṣuwar tadhkārīyah ukhrá)</w:t>
                    </w:r>
                    <w:r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:rsidR="00455C01" w:rsidRPr="00455C01" w:rsidRDefault="00455C01" w:rsidP="00455C01">
                <w:pPr>
                  <w:rPr>
                    <w:rFonts w:ascii="Calibri" w:hAnsi="Calibri" w:cs="Times New Roman"/>
                  </w:rPr>
                </w:pPr>
              </w:p>
              <w:p w:rsidR="00455C01" w:rsidRDefault="00455C01" w:rsidP="00455C01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56678070"/>
                    <w:citation/>
                  </w:sdtPr>
                  <w:sdtContent>
                    <w:r>
                      <w:rPr>
                        <w:rFonts w:ascii="Calibri" w:hAnsi="Calibri" w:cs="Times New Roman"/>
                      </w:rPr>
                      <w:fldChar w:fldCharType="begin"/>
                    </w:r>
                    <w:r>
                      <w:rPr>
                        <w:rFonts w:ascii="Calibri" w:hAnsi="Calibri" w:cs="Times New Roman"/>
                        <w:lang w:val="en-US"/>
                      </w:rPr>
                      <w:instrText xml:space="preserve"> CITATION Bar \l 1033 </w:instrText>
                    </w:r>
                    <w:r>
                      <w:rPr>
                        <w:rFonts w:ascii="Calibri" w:hAnsi="Calibri" w:cs="Times New Roman"/>
                      </w:rPr>
                      <w:fldChar w:fldCharType="separate"/>
                    </w:r>
                    <w:r w:rsidRPr="00455C01">
                      <w:rPr>
                        <w:rFonts w:ascii="Calibri" w:hAnsi="Calibri" w:cs="Times New Roman"/>
                        <w:noProof/>
                        <w:lang w:val="en-US"/>
                      </w:rPr>
                      <w:t>(Baron)</w:t>
                    </w:r>
                    <w:r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:rsidR="00455C01" w:rsidRPr="00455C01" w:rsidRDefault="00455C01" w:rsidP="00455C01">
                <w:pPr>
                  <w:rPr>
                    <w:rFonts w:ascii="Calibri" w:hAnsi="Calibri" w:cs="Times New Roman"/>
                  </w:rPr>
                </w:pPr>
              </w:p>
              <w:p w:rsidR="00131246" w:rsidRDefault="00455C01" w:rsidP="00455C01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1344517461"/>
                    <w:citation/>
                  </w:sdtPr>
                  <w:sdtContent>
                    <w:r>
                      <w:rPr>
                        <w:rFonts w:ascii="Calibri" w:hAnsi="Calibri" w:cs="Times New Roman"/>
                      </w:rPr>
                      <w:fldChar w:fldCharType="begin"/>
                    </w:r>
                    <w:r>
                      <w:rPr>
                        <w:rFonts w:ascii="Calibri" w:hAnsi="Calibri" w:cs="Times New Roman"/>
                        <w:lang w:val="en-US"/>
                      </w:rPr>
                      <w:instrText xml:space="preserve"> CITATION Col07 \l 1033 </w:instrText>
                    </w:r>
                    <w:r>
                      <w:rPr>
                        <w:rFonts w:ascii="Calibri" w:hAnsi="Calibri" w:cs="Times New Roman"/>
                      </w:rPr>
                      <w:fldChar w:fldCharType="separate"/>
                    </w:r>
                    <w:r w:rsidRPr="00455C01">
                      <w:rPr>
                        <w:rFonts w:ascii="Calibri" w:hAnsi="Calibri" w:cs="Times New Roman"/>
                        <w:noProof/>
                        <w:lang w:val="en-US"/>
                      </w:rPr>
                      <w:t>(Colla)</w:t>
                    </w:r>
                    <w:r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:rsidR="00455C01" w:rsidRDefault="00455C01" w:rsidP="00455C01">
                <w:pPr>
                  <w:rPr>
                    <w:rFonts w:ascii="Calibri" w:hAnsi="Calibri" w:cs="Times New Roman"/>
                  </w:rPr>
                </w:pPr>
              </w:p>
              <w:p w:rsidR="00455C01" w:rsidRDefault="00455C01" w:rsidP="00455C01">
                <w:pPr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1442758498"/>
                    <w:citation/>
                  </w:sdtPr>
                  <w:sdtContent>
                    <w:r>
                      <w:rPr>
                        <w:rFonts w:ascii="Calibri" w:hAnsi="Calibri" w:cs="Times New Roman"/>
                      </w:rPr>
                      <w:fldChar w:fldCharType="begin"/>
                    </w:r>
                    <w:r>
                      <w:rPr>
                        <w:rFonts w:ascii="Calibri" w:hAnsi="Calibri" w:cs="Times New Roman"/>
                        <w:lang w:val="en-US"/>
                      </w:rPr>
                      <w:instrText xml:space="preserve"> CITATION Ger04 \l 1033 </w:instrText>
                    </w:r>
                    <w:r>
                      <w:rPr>
                        <w:rFonts w:ascii="Calibri" w:hAnsi="Calibri" w:cs="Times New Roman"/>
                      </w:rPr>
                      <w:fldChar w:fldCharType="separate"/>
                    </w:r>
                    <w:r w:rsidRPr="00455C01">
                      <w:rPr>
                        <w:rFonts w:ascii="Calibri" w:hAnsi="Calibri" w:cs="Times New Roman"/>
                        <w:noProof/>
                        <w:lang w:val="en-US"/>
                      </w:rPr>
                      <w:t>(Gershoni and Jankowski)</w:t>
                    </w:r>
                    <w:r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:rsidR="00131246" w:rsidRDefault="00131246" w:rsidP="00455C01">
                <w:pPr>
                  <w:rPr>
                    <w:rFonts w:ascii="Calibri" w:hAnsi="Calibri" w:cs="Times New Roman"/>
                  </w:rPr>
                </w:pPr>
              </w:p>
              <w:p w:rsidR="00131246" w:rsidRPr="00455C01" w:rsidRDefault="00131246" w:rsidP="00455C01">
                <w:pPr>
                  <w:rPr>
                    <w:rFonts w:ascii="Calibri" w:hAnsi="Calibri" w:cs="Times New Roman"/>
                  </w:rPr>
                </w:pPr>
                <w:sdt>
                  <w:sdtPr>
                    <w:id w:val="-73215153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Calibri" w:hAnsi="Calibri" w:cs="Times New Roman"/>
                        <w:lang w:val="en-US"/>
                      </w:rPr>
                      <w:instrText xml:space="preserve"> CITATION Ghā49 \l 1033 </w:instrText>
                    </w:r>
                    <w:r>
                      <w:fldChar w:fldCharType="separate"/>
                    </w:r>
                    <w:r w:rsidRPr="00131246">
                      <w:rPr>
                        <w:rFonts w:ascii="Calibri" w:hAnsi="Calibri" w:cs="Times New Roman"/>
                        <w:noProof/>
                        <w:lang w:val="en-US"/>
                      </w:rPr>
                      <w:t>(Ghāzī, Dīn and Boctor)</w:t>
                    </w:r>
                    <w:r>
                      <w:fldChar w:fldCharType="end"/>
                    </w:r>
                  </w:sdtContent>
                </w:sdt>
              </w:p>
              <w:p w:rsidR="00455C01" w:rsidRPr="00455C01" w:rsidRDefault="00455C01" w:rsidP="00455C01">
                <w:pPr>
                  <w:rPr>
                    <w:rFonts w:ascii="Calibri" w:hAnsi="Calibri" w:cs="Times New Roman"/>
                    <w:bCs/>
                  </w:rPr>
                </w:pPr>
              </w:p>
              <w:p w:rsidR="003235A7" w:rsidRPr="00455C01" w:rsidRDefault="00455C01" w:rsidP="00FB11DE">
                <w:pPr>
                  <w:rPr>
                    <w:rFonts w:ascii="Times New Roman" w:hAnsi="Times New Roman" w:cs="Times New Roman"/>
                    <w:bCs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</w:rPr>
                    <w:id w:val="333730900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bCs/>
                      </w:rPr>
                      <w:fldChar w:fldCharType="begin"/>
                    </w:r>
                    <w:r>
                      <w:rPr>
                        <w:rFonts w:ascii="Calibri" w:hAnsi="Calibri" w:cs="Times New Roman"/>
                        <w:bCs/>
                        <w:lang w:val="en-US"/>
                      </w:rPr>
                      <w:instrText xml:space="preserve"> CITATION Seg14 \l 1033 </w:instrText>
                    </w:r>
                    <w:r>
                      <w:rPr>
                        <w:rFonts w:ascii="Times New Roman" w:hAnsi="Times New Roman" w:cs="Times New Roman"/>
                        <w:bCs/>
                      </w:rPr>
                      <w:fldChar w:fldCharType="separate"/>
                    </w:r>
                    <w:r w:rsidRPr="00455C01">
                      <w:rPr>
                        <w:rFonts w:ascii="Calibri" w:hAnsi="Calibri" w:cs="Times New Roman"/>
                        <w:noProof/>
                        <w:lang w:val="en-US"/>
                      </w:rPr>
                      <w:t>(Seggerman)</w:t>
                    </w:r>
                    <w:r>
                      <w:rPr>
                        <w:rFonts w:ascii="Times New Roman" w:hAnsi="Times New Roman" w:cs="Times New Roman"/>
                        <w:bCs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C01" w:rsidRDefault="00455C01" w:rsidP="007A0D55">
      <w:pPr>
        <w:spacing w:after="0" w:line="240" w:lineRule="auto"/>
      </w:pPr>
      <w:r>
        <w:separator/>
      </w:r>
    </w:p>
  </w:endnote>
  <w:endnote w:type="continuationSeparator" w:id="0">
    <w:p w:rsidR="00455C01" w:rsidRDefault="00455C0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C01" w:rsidRDefault="00455C01" w:rsidP="007A0D55">
      <w:pPr>
        <w:spacing w:after="0" w:line="240" w:lineRule="auto"/>
      </w:pPr>
      <w:r>
        <w:separator/>
      </w:r>
    </w:p>
  </w:footnote>
  <w:footnote w:type="continuationSeparator" w:id="0">
    <w:p w:rsidR="00455C01" w:rsidRDefault="00455C0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C01" w:rsidRDefault="00455C0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455C01" w:rsidRDefault="00455C0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C01"/>
    <w:rsid w:val="00032559"/>
    <w:rsid w:val="00052040"/>
    <w:rsid w:val="000B25AE"/>
    <w:rsid w:val="000B55AB"/>
    <w:rsid w:val="000D24DC"/>
    <w:rsid w:val="00101B2E"/>
    <w:rsid w:val="00116FA0"/>
    <w:rsid w:val="00131246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55C01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55C0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C0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55C0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C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7E1F2BB110C645AE17B969606E5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0B6CE-4509-9546-A534-777397EBB5C8}"/>
      </w:docPartPr>
      <w:docPartBody>
        <w:p w:rsidR="00C7776C" w:rsidRDefault="00C7776C">
          <w:pPr>
            <w:pStyle w:val="FF7E1F2BB110C645AE17B969606E516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E1BEC451F1A6E4DBC19DE6F42068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5389B-6ED6-2C41-A68A-E7CD83198974}"/>
      </w:docPartPr>
      <w:docPartBody>
        <w:p w:rsidR="00C7776C" w:rsidRDefault="00C7776C">
          <w:pPr>
            <w:pStyle w:val="9E1BEC451F1A6E4DBC19DE6F42068AA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1CC2603E15E7644B46A0C59F97C5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88BFA-76E0-8D46-ADA7-994B3CEF4E6B}"/>
      </w:docPartPr>
      <w:docPartBody>
        <w:p w:rsidR="00C7776C" w:rsidRDefault="00C7776C">
          <w:pPr>
            <w:pStyle w:val="81CC2603E15E7644B46A0C59F97C5DD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4B43CC3E173544C81CC6E0DBDA49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8742B-DC78-B743-8210-E0A56312D77A}"/>
      </w:docPartPr>
      <w:docPartBody>
        <w:p w:rsidR="00C7776C" w:rsidRDefault="00C7776C">
          <w:pPr>
            <w:pStyle w:val="24B43CC3E173544C81CC6E0DBDA4953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AFC90E8F8D9704EA7BD42BB5B278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B6B0F-D684-2F4A-AC26-1E9416543FE9}"/>
      </w:docPartPr>
      <w:docPartBody>
        <w:p w:rsidR="00C7776C" w:rsidRDefault="00C7776C">
          <w:pPr>
            <w:pStyle w:val="3AFC90E8F8D9704EA7BD42BB5B278B5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60FC821A8B9E54B8DD3B7E4AEC92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7DB46-4EA6-4242-9411-AF728E4B1E85}"/>
      </w:docPartPr>
      <w:docPartBody>
        <w:p w:rsidR="00C7776C" w:rsidRDefault="00C7776C">
          <w:pPr>
            <w:pStyle w:val="C60FC821A8B9E54B8DD3B7E4AEC9279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754D6D31185594AAF27DDA59D3A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8E6FF-ED9E-284C-ACFD-25270FDAAB65}"/>
      </w:docPartPr>
      <w:docPartBody>
        <w:p w:rsidR="00C7776C" w:rsidRDefault="00C7776C">
          <w:pPr>
            <w:pStyle w:val="7754D6D31185594AAF27DDA59D3A313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71C27B0B2892D4B9310130F7B5B7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8640C-B777-4B4A-9A02-1631B8A1A239}"/>
      </w:docPartPr>
      <w:docPartBody>
        <w:p w:rsidR="00C7776C" w:rsidRDefault="00C7776C">
          <w:pPr>
            <w:pStyle w:val="A71C27B0B2892D4B9310130F7B5B754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22F1332C1EC5440BF93B9FB503CF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8E3B6-6AB5-934F-B50C-0FBAA68C61FD}"/>
      </w:docPartPr>
      <w:docPartBody>
        <w:p w:rsidR="00C7776C" w:rsidRDefault="00C7776C">
          <w:pPr>
            <w:pStyle w:val="E22F1332C1EC5440BF93B9FB503CF45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1904F4524888947B241C1784874B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0BFAD-42D7-E344-9699-5E8B25EB7AE9}"/>
      </w:docPartPr>
      <w:docPartBody>
        <w:p w:rsidR="00C7776C" w:rsidRDefault="00C7776C">
          <w:pPr>
            <w:pStyle w:val="B1904F4524888947B241C1784874B1D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82116856194524BB103FACE36F96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C5491-DB58-CD43-9ED6-BBAF29924E1D}"/>
      </w:docPartPr>
      <w:docPartBody>
        <w:p w:rsidR="00C7776C" w:rsidRDefault="00C7776C">
          <w:pPr>
            <w:pStyle w:val="582116856194524BB103FACE36F9684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3A6B6B3BC116643971A5159F182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2BF34-2F4C-9C4E-A1CC-D11C3DB336F4}"/>
      </w:docPartPr>
      <w:docPartBody>
        <w:p w:rsidR="00C7776C" w:rsidRDefault="00C7776C" w:rsidP="00C7776C">
          <w:pPr>
            <w:pStyle w:val="13A6B6B3BC116643971A5159F182B35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76C"/>
    <w:rsid w:val="00C7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76C"/>
    <w:rPr>
      <w:color w:val="808080"/>
    </w:rPr>
  </w:style>
  <w:style w:type="paragraph" w:customStyle="1" w:styleId="FF7E1F2BB110C645AE17B969606E5166">
    <w:name w:val="FF7E1F2BB110C645AE17B969606E5166"/>
  </w:style>
  <w:style w:type="paragraph" w:customStyle="1" w:styleId="9E1BEC451F1A6E4DBC19DE6F42068AAB">
    <w:name w:val="9E1BEC451F1A6E4DBC19DE6F42068AAB"/>
  </w:style>
  <w:style w:type="paragraph" w:customStyle="1" w:styleId="81CC2603E15E7644B46A0C59F97C5DD4">
    <w:name w:val="81CC2603E15E7644B46A0C59F97C5DD4"/>
  </w:style>
  <w:style w:type="paragraph" w:customStyle="1" w:styleId="24B43CC3E173544C81CC6E0DBDA49532">
    <w:name w:val="24B43CC3E173544C81CC6E0DBDA49532"/>
  </w:style>
  <w:style w:type="paragraph" w:customStyle="1" w:styleId="3AFC90E8F8D9704EA7BD42BB5B278B58">
    <w:name w:val="3AFC90E8F8D9704EA7BD42BB5B278B58"/>
  </w:style>
  <w:style w:type="paragraph" w:customStyle="1" w:styleId="C60FC821A8B9E54B8DD3B7E4AEC92793">
    <w:name w:val="C60FC821A8B9E54B8DD3B7E4AEC92793"/>
  </w:style>
  <w:style w:type="paragraph" w:customStyle="1" w:styleId="7754D6D31185594AAF27DDA59D3A313D">
    <w:name w:val="7754D6D31185594AAF27DDA59D3A313D"/>
  </w:style>
  <w:style w:type="paragraph" w:customStyle="1" w:styleId="A71C27B0B2892D4B9310130F7B5B754F">
    <w:name w:val="A71C27B0B2892D4B9310130F7B5B754F"/>
  </w:style>
  <w:style w:type="paragraph" w:customStyle="1" w:styleId="E22F1332C1EC5440BF93B9FB503CF454">
    <w:name w:val="E22F1332C1EC5440BF93B9FB503CF454"/>
  </w:style>
  <w:style w:type="paragraph" w:customStyle="1" w:styleId="B1904F4524888947B241C1784874B1DB">
    <w:name w:val="B1904F4524888947B241C1784874B1DB"/>
  </w:style>
  <w:style w:type="paragraph" w:customStyle="1" w:styleId="582116856194524BB103FACE36F96849">
    <w:name w:val="582116856194524BB103FACE36F96849"/>
  </w:style>
  <w:style w:type="paragraph" w:customStyle="1" w:styleId="13A6B6B3BC116643971A5159F182B354">
    <w:name w:val="13A6B6B3BC116643971A5159F182B354"/>
    <w:rsid w:val="00C7776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76C"/>
    <w:rPr>
      <w:color w:val="808080"/>
    </w:rPr>
  </w:style>
  <w:style w:type="paragraph" w:customStyle="1" w:styleId="FF7E1F2BB110C645AE17B969606E5166">
    <w:name w:val="FF7E1F2BB110C645AE17B969606E5166"/>
  </w:style>
  <w:style w:type="paragraph" w:customStyle="1" w:styleId="9E1BEC451F1A6E4DBC19DE6F42068AAB">
    <w:name w:val="9E1BEC451F1A6E4DBC19DE6F42068AAB"/>
  </w:style>
  <w:style w:type="paragraph" w:customStyle="1" w:styleId="81CC2603E15E7644B46A0C59F97C5DD4">
    <w:name w:val="81CC2603E15E7644B46A0C59F97C5DD4"/>
  </w:style>
  <w:style w:type="paragraph" w:customStyle="1" w:styleId="24B43CC3E173544C81CC6E0DBDA49532">
    <w:name w:val="24B43CC3E173544C81CC6E0DBDA49532"/>
  </w:style>
  <w:style w:type="paragraph" w:customStyle="1" w:styleId="3AFC90E8F8D9704EA7BD42BB5B278B58">
    <w:name w:val="3AFC90E8F8D9704EA7BD42BB5B278B58"/>
  </w:style>
  <w:style w:type="paragraph" w:customStyle="1" w:styleId="C60FC821A8B9E54B8DD3B7E4AEC92793">
    <w:name w:val="C60FC821A8B9E54B8DD3B7E4AEC92793"/>
  </w:style>
  <w:style w:type="paragraph" w:customStyle="1" w:styleId="7754D6D31185594AAF27DDA59D3A313D">
    <w:name w:val="7754D6D31185594AAF27DDA59D3A313D"/>
  </w:style>
  <w:style w:type="paragraph" w:customStyle="1" w:styleId="A71C27B0B2892D4B9310130F7B5B754F">
    <w:name w:val="A71C27B0B2892D4B9310130F7B5B754F"/>
  </w:style>
  <w:style w:type="paragraph" w:customStyle="1" w:styleId="E22F1332C1EC5440BF93B9FB503CF454">
    <w:name w:val="E22F1332C1EC5440BF93B9FB503CF454"/>
  </w:style>
  <w:style w:type="paragraph" w:customStyle="1" w:styleId="B1904F4524888947B241C1784874B1DB">
    <w:name w:val="B1904F4524888947B241C1784874B1DB"/>
  </w:style>
  <w:style w:type="paragraph" w:customStyle="1" w:styleId="582116856194524BB103FACE36F96849">
    <w:name w:val="582116856194524BB103FACE36F96849"/>
  </w:style>
  <w:style w:type="paragraph" w:customStyle="1" w:styleId="13A6B6B3BC116643971A5159F182B354">
    <w:name w:val="13A6B6B3BC116643971A5159F182B354"/>
    <w:rsid w:val="00C777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Ghā49</b:Tag>
    <b:SourceType>Book</b:SourceType>
    <b:Guid>{484421DC-BABC-9B4A-A4BB-9700A2EA0B7C}</b:Guid>
    <b:Author>
      <b:Author>
        <b:NameList>
          <b:Person>
            <b:Last>Ghāzī</b:Last>
            <b:First>Abū</b:First>
          </b:Person>
          <b:Person>
            <b:Last>Dīn</b:Last>
            <b:First>Badr</b:First>
            <b:Middle>al-</b:Middle>
          </b:Person>
          <b:Person>
            <b:Last>Boctor</b:Last>
            <b:First>Gabriel</b:First>
          </b:Person>
        </b:NameList>
      </b:Author>
    </b:Author>
    <b:Title>Mouktar, ou le reveil de l’Égypte</b:Title>
    <b:Publisher>Impr. de H. Urwand</b:Publisher>
    <b:Year>1949</b:Year>
    <b:RefOrder>6</b:RefOrder>
  </b:Source>
  <b:Source>
    <b:Tag>Abū64</b:Tag>
    <b:SourceType>Book</b:SourceType>
    <b:Guid>{254DF94D-625C-CA4D-BF6A-328CFD976235}</b:Guid>
    <b:Author>
      <b:Author>
        <b:NameList>
          <b:Person>
            <b:Last>Abū Ghāzī</b:Last>
            <b:First>Badr</b:First>
            <b:Middle>al-Dīn</b:Middle>
          </b:Person>
        </b:NameList>
      </b:Author>
    </b:Author>
    <b:Title>Al-Maththāl Mukhtār</b:Title>
    <b:City>Cairo</b:City>
    <b:Publisher>al-Dār al-Qawmīyah lil-Ṭibāʻah wa-al-Nashr</b:Publisher>
    <b:Year>1964</b:Year>
    <b:RefOrder>1</b:RefOrder>
  </b:Source>
  <b:Source>
    <b:Tag>Muk88</b:Tag>
    <b:SourceType>Book</b:SourceType>
    <b:Guid>{985FC800-447C-2841-8B2D-DE801750F676}</b:Guid>
    <b:Title>Mukhtār, ḥayātuhu wa-fannuh : "maʻa 44 ṣūrah li-arwaʻ āthār Mukhtār wa-ṣuwar tadhkārīyah ukhrá</b:Title>
    <b:City>Cairo</b:City>
    <b:Publisher>al-Hayʼah al-Miṣrīyah al-ʻĀmmah lil-Kitāb</b:Publisher>
    <b:Year>1988</b:Year>
    <b:Author>
      <b:Author>
        <b:NameList>
          <b:Person>
            <b:Last>Abū Ghāzī</b:Last>
            <b:First>Badr</b:First>
            <b:Middle>al-Dīn</b:Middle>
          </b:Person>
        </b:NameList>
      </b:Author>
    </b:Author>
    <b:RefOrder>2</b:RefOrder>
  </b:Source>
  <b:Source>
    <b:Tag>Bar</b:Tag>
    <b:SourceType>Book</b:SourceType>
    <b:Guid>{6D2B5DE2-F82A-824A-8E8C-A0F5E77A3A44}</b:Guid>
    <b:Author>
      <b:Author>
        <b:NameList>
          <b:Person>
            <b:Last>Baron</b:Last>
            <b:First>Beth</b:First>
          </b:Person>
        </b:NameList>
      </b:Author>
    </b:Author>
    <b:Title>Egypt as a Woman: Nationalism, Gender, and Politics</b:Title>
    <b:City>Berkeley</b:City>
    <b:Publisher>University of California Press</b:Publisher>
    <b:Pages>2005</b:Pages>
    <b:RefOrder>3</b:RefOrder>
  </b:Source>
  <b:Source>
    <b:Tag>Col07</b:Tag>
    <b:SourceType>Book</b:SourceType>
    <b:Guid>{2B2B72B5-9446-8A41-85CF-8628CAFABD59}</b:Guid>
    <b:Author>
      <b:Author>
        <b:NameList>
          <b:Person>
            <b:Last>Colla</b:Last>
            <b:First>Elliott</b:First>
          </b:Person>
        </b:NameList>
      </b:Author>
    </b:Author>
    <b:Title>Conflicted Antiquities: Egyptology, Egyptomania, Egyptian Modernity</b:Title>
    <b:City>Durham</b:City>
    <b:StateProvince>NC</b:StateProvince>
    <b:Publisher>Duke University Press</b:Publisher>
    <b:Year>2007</b:Year>
    <b:RefOrder>4</b:RefOrder>
  </b:Source>
  <b:Source>
    <b:Tag>Ger04</b:Tag>
    <b:SourceType>Book</b:SourceType>
    <b:Guid>{788E3C3D-AE9E-504D-8D84-FC75C31C26A3}</b:Guid>
    <b:Author>
      <b:Author>
        <b:NameList>
          <b:Person>
            <b:Last>Gershoni</b:Last>
            <b:First>I.</b:First>
          </b:Person>
          <b:Person>
            <b:Last>Jankowski</b:Last>
            <b:First>James</b:First>
            <b:Middle>P.</b:Middle>
          </b:Person>
        </b:NameList>
      </b:Author>
    </b:Author>
    <b:Title>Commemorating the Nation : Collective Memory, Public Commemoration, and National Identity in Twentieth-Century Egypt</b:Title>
    <b:City>Chicago</b:City>
    <b:Publisher>Middle East Documentation Center</b:Publisher>
    <b:Year>2004</b:Year>
    <b:RefOrder>5</b:RefOrder>
  </b:Source>
  <b:Source>
    <b:Tag>Seg14</b:Tag>
    <b:SourceType>JournalArticle</b:SourceType>
    <b:Guid>{6BE7D48B-91D6-2548-AE1D-2F048A127943}</b:Guid>
    <b:Title>Mahmoud Mukhtar: The First Sculptor from the Land of Sculpture.</b:Title>
    <b:Year>2014</b:Year>
    <b:Volume>4</b:Volume>
    <b:Author>
      <b:Author>
        <b:NameList>
          <b:Person>
            <b:Last>Seggerman</b:Last>
            <b:First>Alexandra</b:First>
            <b:Middle>Dika</b:Middle>
          </b:Person>
        </b:NameList>
      </b:Author>
    </b:Author>
    <b:JournalName>World Art Journal</b:JournalName>
    <b:Issue>1</b:Issue>
    <b:RefOrder>7</b:RefOrder>
  </b:Source>
</b:Sources>
</file>

<file path=customXml/itemProps1.xml><?xml version="1.0" encoding="utf-8"?>
<ds:datastoreItem xmlns:ds="http://schemas.openxmlformats.org/officeDocument/2006/customXml" ds:itemID="{72C5BEAE-D993-544D-8FA3-D420A7750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2</Pages>
  <Words>530</Words>
  <Characters>3024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2015-07-05T16:58:00Z</dcterms:created>
  <dcterms:modified xsi:type="dcterms:W3CDTF">2015-07-05T17:18:00Z</dcterms:modified>
</cp:coreProperties>
</file>