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DC15" w14:textId="77777777" w:rsidTr="00922950">
        <w:tc>
          <w:tcPr>
            <w:tcW w:w="491" w:type="dxa"/>
            <w:vMerge w:val="restart"/>
            <w:shd w:val="clear" w:color="auto" w:fill="A6A6A6" w:themeFill="background1" w:themeFillShade="A6"/>
            <w:textDirection w:val="btLr"/>
          </w:tcPr>
          <w:p w14:paraId="2FC524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19090D871BC947908006EF416304CE"/>
            </w:placeholder>
            <w:showingPlcHdr/>
            <w:dropDownList>
              <w:listItem w:displayText="Dr." w:value="Dr."/>
              <w:listItem w:displayText="Prof." w:value="Prof."/>
            </w:dropDownList>
          </w:sdtPr>
          <w:sdtEndPr/>
          <w:sdtContent>
            <w:tc>
              <w:tcPr>
                <w:tcW w:w="1259" w:type="dxa"/>
              </w:tcPr>
              <w:p w14:paraId="391A5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CFB8CF87C09F49ABBE9F15693F915B"/>
            </w:placeholder>
            <w:text/>
          </w:sdtPr>
          <w:sdtEndPr/>
          <w:sdtContent>
            <w:tc>
              <w:tcPr>
                <w:tcW w:w="2073" w:type="dxa"/>
              </w:tcPr>
              <w:p w14:paraId="428D5A64" w14:textId="77777777" w:rsidR="00B574C9" w:rsidRDefault="00917B4B" w:rsidP="00922950">
                <w:proofErr w:type="spellStart"/>
                <w:r w:rsidRPr="00917B4B">
                  <w:rPr>
                    <w:lang w:val="en-US" w:eastAsia="ja-JP"/>
                  </w:rPr>
                  <w:t>Bibiana</w:t>
                </w:r>
                <w:proofErr w:type="spellEnd"/>
              </w:p>
            </w:tc>
          </w:sdtContent>
        </w:sdt>
        <w:sdt>
          <w:sdtPr>
            <w:alias w:val="Middle name"/>
            <w:tag w:val="authorMiddleName"/>
            <w:id w:val="-2076034781"/>
            <w:placeholder>
              <w:docPart w:val="0F6F1B1189871D4985549CCD136EE370"/>
            </w:placeholder>
            <w:showingPlcHdr/>
            <w:text/>
          </w:sdtPr>
          <w:sdtEndPr/>
          <w:sdtContent>
            <w:tc>
              <w:tcPr>
                <w:tcW w:w="2551" w:type="dxa"/>
              </w:tcPr>
              <w:p w14:paraId="43D17A28" w14:textId="77777777" w:rsidR="00B574C9" w:rsidRDefault="00B574C9" w:rsidP="00922950">
                <w:r>
                  <w:rPr>
                    <w:rStyle w:val="PlaceholderText"/>
                  </w:rPr>
                  <w:t>[Middle name]</w:t>
                </w:r>
              </w:p>
            </w:tc>
          </w:sdtContent>
        </w:sdt>
        <w:sdt>
          <w:sdtPr>
            <w:alias w:val="Last name"/>
            <w:tag w:val="authorLastName"/>
            <w:id w:val="-1088529830"/>
            <w:placeholder>
              <w:docPart w:val="E8717E0DE7D4FA4EB8753365603FB04C"/>
            </w:placeholder>
            <w:text/>
          </w:sdtPr>
          <w:sdtEndPr/>
          <w:sdtContent>
            <w:tc>
              <w:tcPr>
                <w:tcW w:w="2642" w:type="dxa"/>
              </w:tcPr>
              <w:p w14:paraId="5648237A" w14:textId="77777777" w:rsidR="00B574C9" w:rsidRDefault="00917B4B" w:rsidP="00922950">
                <w:proofErr w:type="spellStart"/>
                <w:r w:rsidRPr="00917B4B">
                  <w:rPr>
                    <w:lang w:val="en-US" w:eastAsia="ja-JP"/>
                  </w:rPr>
                  <w:t>Obler</w:t>
                </w:r>
                <w:proofErr w:type="spellEnd"/>
              </w:p>
            </w:tc>
          </w:sdtContent>
        </w:sdt>
      </w:tr>
      <w:tr w:rsidR="00B574C9" w14:paraId="1BDDB950" w14:textId="77777777" w:rsidTr="001A6A06">
        <w:trPr>
          <w:trHeight w:val="986"/>
        </w:trPr>
        <w:tc>
          <w:tcPr>
            <w:tcW w:w="491" w:type="dxa"/>
            <w:vMerge/>
            <w:shd w:val="clear" w:color="auto" w:fill="A6A6A6" w:themeFill="background1" w:themeFillShade="A6"/>
          </w:tcPr>
          <w:p w14:paraId="3258E686" w14:textId="77777777" w:rsidR="00B574C9" w:rsidRPr="001A6A06" w:rsidRDefault="00B574C9" w:rsidP="00CF1542">
            <w:pPr>
              <w:jc w:val="center"/>
              <w:rPr>
                <w:b/>
                <w:color w:val="FFFFFF" w:themeColor="background1"/>
              </w:rPr>
            </w:pPr>
          </w:p>
        </w:tc>
        <w:sdt>
          <w:sdtPr>
            <w:alias w:val="Biography"/>
            <w:tag w:val="authorBiography"/>
            <w:id w:val="938807824"/>
            <w:placeholder>
              <w:docPart w:val="2CE4E939E7A3FE44B1C9EE7B1E11FEC2"/>
            </w:placeholder>
            <w:showingPlcHdr/>
          </w:sdtPr>
          <w:sdtEndPr/>
          <w:sdtContent>
            <w:tc>
              <w:tcPr>
                <w:tcW w:w="8525" w:type="dxa"/>
                <w:gridSpan w:val="4"/>
              </w:tcPr>
              <w:p w14:paraId="179074CE" w14:textId="77777777" w:rsidR="00B574C9" w:rsidRDefault="00B574C9" w:rsidP="00922950">
                <w:r>
                  <w:rPr>
                    <w:rStyle w:val="PlaceholderText"/>
                  </w:rPr>
                  <w:t>[Enter your biography]</w:t>
                </w:r>
              </w:p>
            </w:tc>
          </w:sdtContent>
        </w:sdt>
      </w:tr>
      <w:tr w:rsidR="00B574C9" w14:paraId="1FCCD347" w14:textId="77777777" w:rsidTr="001A6A06">
        <w:trPr>
          <w:trHeight w:val="986"/>
        </w:trPr>
        <w:tc>
          <w:tcPr>
            <w:tcW w:w="491" w:type="dxa"/>
            <w:vMerge/>
            <w:shd w:val="clear" w:color="auto" w:fill="A6A6A6" w:themeFill="background1" w:themeFillShade="A6"/>
          </w:tcPr>
          <w:p w14:paraId="241AE790" w14:textId="77777777" w:rsidR="00B574C9" w:rsidRPr="001A6A06" w:rsidRDefault="00B574C9" w:rsidP="00CF1542">
            <w:pPr>
              <w:jc w:val="center"/>
              <w:rPr>
                <w:b/>
                <w:color w:val="FFFFFF" w:themeColor="background1"/>
              </w:rPr>
            </w:pPr>
          </w:p>
        </w:tc>
        <w:sdt>
          <w:sdtPr>
            <w:alias w:val="Affiliation"/>
            <w:tag w:val="affiliation"/>
            <w:id w:val="2012937915"/>
            <w:placeholder>
              <w:docPart w:val="21BC51F9C00A8344B787EAFA2B981E18"/>
            </w:placeholder>
            <w:text/>
          </w:sdtPr>
          <w:sdtEndPr/>
          <w:sdtContent>
            <w:tc>
              <w:tcPr>
                <w:tcW w:w="8525" w:type="dxa"/>
                <w:gridSpan w:val="4"/>
              </w:tcPr>
              <w:p w14:paraId="37324D50" w14:textId="08166F06" w:rsidR="00B574C9" w:rsidRDefault="00917B4B" w:rsidP="00804DD1">
                <w:r>
                  <w:t>George Washington University</w:t>
                </w:r>
              </w:p>
            </w:tc>
          </w:sdtContent>
        </w:sdt>
      </w:tr>
    </w:tbl>
    <w:p w14:paraId="0FD1F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68DC3D" w14:textId="77777777" w:rsidTr="00244BB0">
        <w:tc>
          <w:tcPr>
            <w:tcW w:w="9016" w:type="dxa"/>
            <w:shd w:val="clear" w:color="auto" w:fill="A6A6A6" w:themeFill="background1" w:themeFillShade="A6"/>
            <w:tcMar>
              <w:top w:w="113" w:type="dxa"/>
              <w:bottom w:w="113" w:type="dxa"/>
            </w:tcMar>
          </w:tcPr>
          <w:p w14:paraId="05DAF1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A1D4A6" w14:textId="77777777" w:rsidTr="003F0D73">
        <w:sdt>
          <w:sdtPr>
            <w:rPr>
              <w:b/>
            </w:rPr>
            <w:alias w:val="Article headword"/>
            <w:tag w:val="articleHeadword"/>
            <w:id w:val="-361440020"/>
            <w:placeholder>
              <w:docPart w:val="FBCFDD3ED454DC419E83A8C9E0EBBD38"/>
            </w:placeholder>
            <w:text/>
          </w:sdtPr>
          <w:sdtEndPr/>
          <w:sdtContent>
            <w:tc>
              <w:tcPr>
                <w:tcW w:w="9016" w:type="dxa"/>
                <w:tcMar>
                  <w:top w:w="113" w:type="dxa"/>
                  <w:bottom w:w="113" w:type="dxa"/>
                </w:tcMar>
              </w:tcPr>
              <w:p w14:paraId="40D5D6E5" w14:textId="77777777" w:rsidR="003F0D73" w:rsidRPr="00FB589A" w:rsidRDefault="00917B4B" w:rsidP="003F0D73">
                <w:pPr>
                  <w:rPr>
                    <w:b/>
                  </w:rPr>
                </w:pPr>
                <w:proofErr w:type="spellStart"/>
                <w:r w:rsidRPr="00917B4B">
                  <w:rPr>
                    <w:b/>
                    <w:lang w:val="en-US" w:eastAsia="ja-JP"/>
                  </w:rPr>
                  <w:t>Münter</w:t>
                </w:r>
                <w:proofErr w:type="spellEnd"/>
                <w:r w:rsidRPr="00917B4B">
                  <w:rPr>
                    <w:b/>
                    <w:lang w:val="en-US" w:eastAsia="ja-JP"/>
                  </w:rPr>
                  <w:t>, Gabriele (1877–1962)</w:t>
                </w:r>
              </w:p>
            </w:tc>
          </w:sdtContent>
        </w:sdt>
      </w:tr>
      <w:tr w:rsidR="00464699" w14:paraId="4E26E9E5" w14:textId="77777777" w:rsidTr="00A80DCF">
        <w:sdt>
          <w:sdtPr>
            <w:alias w:val="Variant headwords"/>
            <w:tag w:val="variantHeadwords"/>
            <w:id w:val="173464402"/>
            <w:placeholder>
              <w:docPart w:val="F6CBF9EB027C8D47B236E62291B9E1DF"/>
            </w:placeholder>
            <w:showingPlcHdr/>
          </w:sdtPr>
          <w:sdtEndPr/>
          <w:sdtContent>
            <w:tc>
              <w:tcPr>
                <w:tcW w:w="9016" w:type="dxa"/>
                <w:tcMar>
                  <w:top w:w="113" w:type="dxa"/>
                  <w:bottom w:w="113" w:type="dxa"/>
                </w:tcMar>
              </w:tcPr>
              <w:p w14:paraId="6967CC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60F1DC" w14:textId="77777777" w:rsidTr="003F0D73">
        <w:sdt>
          <w:sdtPr>
            <w:alias w:val="Abstract"/>
            <w:tag w:val="abstract"/>
            <w:id w:val="-635871867"/>
            <w:placeholder>
              <w:docPart w:val="C2FE1A5A8FA07A43AF847C05EE4DFA83"/>
            </w:placeholder>
          </w:sdtPr>
          <w:sdtEndPr/>
          <w:sdtContent>
            <w:tc>
              <w:tcPr>
                <w:tcW w:w="9016" w:type="dxa"/>
                <w:tcMar>
                  <w:top w:w="113" w:type="dxa"/>
                  <w:bottom w:w="113" w:type="dxa"/>
                </w:tcMar>
              </w:tcPr>
              <w:p w14:paraId="45E7D19B" w14:textId="0105EC18" w:rsidR="00E85A05" w:rsidRDefault="0086087A" w:rsidP="00E85A05">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w:t>
                </w:r>
                <w:r>
                  <w:t>tlervereinigung</w:t>
                </w:r>
                <w:proofErr w:type="spellEnd"/>
                <w:r>
                  <w:t xml:space="preserve"> </w:t>
                </w:r>
                <w:proofErr w:type="spellStart"/>
                <w:r>
                  <w:t>München</w:t>
                </w:r>
                <w:proofErr w:type="spellEnd"/>
                <w:r>
                  <w:t xml:space="preserve"> (NKVM) [</w:t>
                </w:r>
                <w:r w:rsidRPr="00E26E48">
                  <w:t>Munich New Artists</w:t>
                </w:r>
                <w:r>
                  <w:t xml:space="preserve">’ Association], founded in 1909, and then the Blue Rider in 1911. Known primarily for her painting, she was also a prolific graphic artist and photographer. Like many women of her generation, she received her art education through a combination of private lessons, women’s art schools, and new co-educational institutions — 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both women and men. </w:t>
                </w:r>
                <w:proofErr w:type="spellStart"/>
                <w:r>
                  <w:t>Münter’s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interest in Matisse and the </w:t>
                </w:r>
                <w:proofErr w:type="spellStart"/>
                <w:r>
                  <w:t>Nabis</w:t>
                </w:r>
                <w:proofErr w:type="spellEnd"/>
                <w:r>
                  <w:t xml:space="preserve">, as well as to the Bavarian landscape and the inspiration of </w:t>
                </w:r>
                <w:proofErr w:type="spellStart"/>
                <w:r w:rsidRPr="00413CAD">
                  <w:rPr>
                    <w:i/>
                  </w:rPr>
                  <w:t>Hinterglasmalerei</w:t>
                </w:r>
                <w:proofErr w:type="spellEnd"/>
                <w:r>
                  <w:t xml:space="preserve"> [</w:t>
                </w:r>
                <w:r w:rsidRPr="00413CAD">
                  <w:t>reverse-glass painting</w:t>
                </w:r>
                <w:r>
                  <w:t xml:space="preserve">]. </w:t>
                </w:r>
              </w:p>
            </w:tc>
          </w:sdtContent>
        </w:sdt>
      </w:tr>
      <w:tr w:rsidR="003F0D73" w14:paraId="6A152003" w14:textId="77777777" w:rsidTr="003F0D73">
        <w:sdt>
          <w:sdtPr>
            <w:alias w:val="Article text"/>
            <w:tag w:val="articleText"/>
            <w:id w:val="634067588"/>
            <w:placeholder>
              <w:docPart w:val="F09CD259C2A85D4C950CEFCE13D6B4A9"/>
            </w:placeholder>
          </w:sdtPr>
          <w:sdtEndPr/>
          <w:sdtContent>
            <w:tc>
              <w:tcPr>
                <w:tcW w:w="9016" w:type="dxa"/>
                <w:tcMar>
                  <w:top w:w="113" w:type="dxa"/>
                  <w:bottom w:w="113" w:type="dxa"/>
                </w:tcMar>
              </w:tcPr>
              <w:p w14:paraId="0CC564B4" w14:textId="776125F5" w:rsidR="00A16F01" w:rsidRDefault="00A16F01" w:rsidP="00A16F01">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w:t>
                </w:r>
                <w:r w:rsidR="009F6B60">
                  <w:t>tlervereinigung</w:t>
                </w:r>
                <w:proofErr w:type="spellEnd"/>
                <w:r w:rsidR="009F6B60">
                  <w:t xml:space="preserve"> </w:t>
                </w:r>
                <w:proofErr w:type="spellStart"/>
                <w:r w:rsidR="009F6B60">
                  <w:t>München</w:t>
                </w:r>
                <w:proofErr w:type="spellEnd"/>
                <w:r w:rsidR="009F6B60">
                  <w:t xml:space="preserve"> (NKVM) [</w:t>
                </w:r>
                <w:r w:rsidRPr="00E26E48">
                  <w:t>Munich New Artists</w:t>
                </w:r>
                <w:r w:rsidR="009F6B60">
                  <w:t>’ Association]</w:t>
                </w:r>
                <w:r>
                  <w:t>, founded in 1909, and then the Blue Rider in 1911. Known primarily for her painting, she was also a prolific graphic artist and photographer. Like many women of her generation, she received her art education through a combin</w:t>
                </w:r>
                <w:r w:rsidR="00AA2630">
                  <w:t>ation of private lessons, women’</w:t>
                </w:r>
                <w:r>
                  <w:t>s art schools, and ne</w:t>
                </w:r>
                <w:r w:rsidR="0086087A">
                  <w:t xml:space="preserve">w co-educational institutions — </w:t>
                </w:r>
                <w:r>
                  <w:t xml:space="preserve">more specifically,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Kandinsky: by 1903, they were engaged (at first secretly) and remained in a relationship until 1916. During these years, both artists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w:t>
                </w:r>
                <w:r w:rsidR="00AA2630">
                  <w:t xml:space="preserve">th women and men. </w:t>
                </w:r>
                <w:proofErr w:type="spellStart"/>
                <w:r w:rsidR="00AA2630">
                  <w:t>Münter’</w:t>
                </w:r>
                <w:r>
                  <w:t>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w:t>
                </w:r>
                <w:r w:rsidR="00AA2630">
                  <w:t xml:space="preserve">est in Matisse and the </w:t>
                </w:r>
                <w:proofErr w:type="spellStart"/>
                <w:r w:rsidR="00AA2630">
                  <w:t>Nabis</w:t>
                </w:r>
                <w:proofErr w:type="spellEnd"/>
                <w:r w:rsidR="00AA2630">
                  <w:t>, as well as to</w:t>
                </w:r>
                <w:r>
                  <w:t xml:space="preserve"> t</w:t>
                </w:r>
                <w:r w:rsidR="00AA2630">
                  <w:t>he Bavarian landscape and</w:t>
                </w:r>
                <w:r>
                  <w:t xml:space="preserve"> the inspiration of </w:t>
                </w:r>
                <w:proofErr w:type="spellStart"/>
                <w:r w:rsidRPr="00413CAD">
                  <w:rPr>
                    <w:i/>
                  </w:rPr>
                  <w:t>Hinterglasmalerei</w:t>
                </w:r>
                <w:proofErr w:type="spellEnd"/>
                <w:r w:rsidR="0086087A">
                  <w:t xml:space="preserve"> [</w:t>
                </w:r>
                <w:r w:rsidRPr="00413CAD">
                  <w:t>reverse-glass painting</w:t>
                </w:r>
                <w:r w:rsidR="0086087A">
                  <w:t>]</w:t>
                </w:r>
                <w:r>
                  <w:t xml:space="preserve">. </w:t>
                </w:r>
              </w:p>
              <w:p w14:paraId="0BB5122E" w14:textId="77777777" w:rsidR="00A16F01" w:rsidRDefault="00A16F01" w:rsidP="00A16F01"/>
              <w:p w14:paraId="3C871872" w14:textId="10C25E91" w:rsidR="00A16F01" w:rsidRDefault="00A16F01" w:rsidP="00A16F01">
                <w:r>
                  <w:t>Like most of her colleagues in German Expressionism</w:t>
                </w:r>
                <w:r w:rsidR="0086087A">
                  <w:t xml:space="preserve"> — </w:t>
                </w:r>
                <w:r>
                  <w:t>w</w:t>
                </w:r>
                <w:r w:rsidR="00A80DCF">
                  <w:t>i</w:t>
                </w:r>
                <w:r w:rsidR="0086087A">
                  <w:t xml:space="preserve">th the exception of Kandinsky — </w:t>
                </w:r>
                <w:proofErr w:type="spellStart"/>
                <w:r>
                  <w:t>Münter</w:t>
                </w:r>
                <w:proofErr w:type="spellEnd"/>
                <w:r>
                  <w:t xml:space="preserve"> focused on figuration rather than abstraction. These artists shared a keen concern for the relationship between artist, viewer, and artwork. For </w:t>
                </w:r>
                <w:proofErr w:type="spellStart"/>
                <w:r>
                  <w:t>Münter</w:t>
                </w:r>
                <w:proofErr w:type="spellEnd"/>
                <w:r>
                  <w:t xml:space="preserve">, painting was a way to explore barriers between self and other. In still </w:t>
                </w:r>
                <w:proofErr w:type="spellStart"/>
                <w:r>
                  <w:t>lifes</w:t>
                </w:r>
                <w:proofErr w:type="spellEnd"/>
                <w:r>
                  <w:t xml:space="preserve">, landscapes, portraits, and genre scenes, she attended to what sometimes appears </w:t>
                </w:r>
                <w:r w:rsidR="00AA2630">
                  <w:t xml:space="preserve">as </w:t>
                </w:r>
                <w:r>
                  <w:t>insuperable distance</w:t>
                </w:r>
                <w:r w:rsidR="00AA2630">
                  <w:t>s</w:t>
                </w:r>
                <w:r>
                  <w:t xml:space="preserve"> between discrete entities</w:t>
                </w:r>
                <w:r w:rsidR="00AA2630">
                  <w:t>,</w:t>
                </w:r>
                <w:r>
                  <w:t xml:space="preserve"> but also </w:t>
                </w:r>
                <w:r>
                  <w:lastRenderedPageBreak/>
                  <w:t xml:space="preserve">suggested, on occasion, the possibility of a kind of togetherness. Her </w:t>
                </w:r>
                <w:r>
                  <w:rPr>
                    <w:i/>
                  </w:rPr>
                  <w:t>Still Life with Queen</w:t>
                </w:r>
                <w:r>
                  <w:t xml:space="preserve">, for example, portrays a scraggly bouquet that both blocks and frames our access to the eponymous queen, whose dimensions in relation to the flowers suggest her identity as a </w:t>
                </w:r>
                <w:r w:rsidR="00AA2630">
                  <w:t>doll.</w:t>
                </w:r>
                <w:r>
                  <w:t xml:space="preserve"> </w:t>
                </w:r>
                <w:proofErr w:type="spellStart"/>
                <w:r>
                  <w:t>Münter</w:t>
                </w:r>
                <w:proofErr w:type="spellEnd"/>
                <w:r>
                  <w:t xml:space="preserve"> allows an element of uncertainty: is this a portrait of an actual queen on</w:t>
                </w:r>
                <w:r w:rsidR="00AA2630">
                  <w:t xml:space="preserve"> a dais in the far background? Is it an apparition? Or, indeed (</w:t>
                </w:r>
                <w:r>
                  <w:t xml:space="preserve">as those familiar with </w:t>
                </w:r>
                <w:proofErr w:type="spellStart"/>
                <w:r>
                  <w:t>Münter's</w:t>
                </w:r>
                <w:proofErr w:type="spellEnd"/>
                <w:r>
                  <w:t xml:space="preserve"> home might sus</w:t>
                </w:r>
                <w:r w:rsidR="00AA2630">
                  <w:t>pect), is it</w:t>
                </w:r>
                <w:r>
                  <w:t xml:space="preserve"> a gift from the dancer Alexander </w:t>
                </w:r>
                <w:proofErr w:type="spellStart"/>
                <w:r>
                  <w:t>Sacharoff</w:t>
                </w:r>
                <w:proofErr w:type="spellEnd"/>
                <w:r>
                  <w:t>? The painting unsettles assumptions about clear distinctions between person and object, reality and fantasy, and even masculinity</w:t>
                </w:r>
                <w:r w:rsidR="0086087A">
                  <w:t xml:space="preserve"> and femininity (if we consider</w:t>
                </w:r>
                <w:r>
                  <w:t xml:space="preserve"> </w:t>
                </w:r>
                <w:proofErr w:type="spellStart"/>
                <w:r>
                  <w:t>Sacharoff's</w:t>
                </w:r>
                <w:proofErr w:type="spellEnd"/>
                <w:r>
                  <w:t xml:space="preserve"> proclivity for cross-dressing). </w:t>
                </w:r>
              </w:p>
              <w:p w14:paraId="6CADD8E6" w14:textId="77777777" w:rsidR="009262FB" w:rsidRDefault="009262FB" w:rsidP="00A16F01"/>
              <w:p w14:paraId="3F502FD1" w14:textId="60D43DAD" w:rsidR="009262FB" w:rsidRDefault="009262FB" w:rsidP="009262FB">
                <w:pPr>
                  <w:keepNext/>
                </w:pPr>
                <w:r>
                  <w:t xml:space="preserve">File: </w:t>
                </w:r>
                <w:r w:rsidRPr="009262FB">
                  <w:t>Munter_Still_Life_with_Queen_1912.jpg</w:t>
                </w:r>
              </w:p>
              <w:p w14:paraId="7763543E" w14:textId="20A9AF39" w:rsidR="009262FB" w:rsidRDefault="009262FB" w:rsidP="009262FB">
                <w:pPr>
                  <w:pStyle w:val="Caption"/>
                </w:pPr>
                <w:r>
                  <w:t xml:space="preserve">Figure </w:t>
                </w:r>
                <w:r w:rsidR="0086087A">
                  <w:fldChar w:fldCharType="begin"/>
                </w:r>
                <w:r w:rsidR="0086087A">
                  <w:instrText xml:space="preserve"> SEQ Figure \* ARABIC </w:instrText>
                </w:r>
                <w:r w:rsidR="0086087A">
                  <w:fldChar w:fldCharType="separate"/>
                </w:r>
                <w:r>
                  <w:rPr>
                    <w:noProof/>
                  </w:rPr>
                  <w:t>1</w:t>
                </w:r>
                <w:r w:rsidR="0086087A">
                  <w:rPr>
                    <w:noProof/>
                  </w:rPr>
                  <w:fldChar w:fldCharType="end"/>
                </w:r>
                <w:r w:rsidR="00756D22">
                  <w:t xml:space="preserve">: Gabriele </w:t>
                </w:r>
                <w:proofErr w:type="spellStart"/>
                <w:r w:rsidR="00756D22">
                  <w:t>M</w:t>
                </w:r>
                <w:r w:rsidR="00756D22">
                  <w:rPr>
                    <w:rFonts w:ascii="Calibri" w:hAnsi="Calibri"/>
                  </w:rPr>
                  <w:t>ü</w:t>
                </w:r>
                <w:r>
                  <w:t>nter</w:t>
                </w:r>
                <w:proofErr w:type="spellEnd"/>
                <w:r>
                  <w:t xml:space="preserve">, </w:t>
                </w:r>
                <w:r w:rsidRPr="00756D22">
                  <w:rPr>
                    <w:i/>
                  </w:rPr>
                  <w:t>Still Life with Queen</w:t>
                </w:r>
                <w:r>
                  <w:t xml:space="preserve"> (1912). Oil on canvas, 27 7/16 x 19 5/16 in. (69.8 x 49 cm). Arthur Jerome Eddy Memorial Collection, 1931.521, The Art Institute of Chicago. Source URL: http://www.artic.edu/aic/collections/artwork/9018?search_no=2</w:t>
                </w:r>
                <w:r w:rsidR="00756D22">
                  <w:t>&amp;index=0.</w:t>
                </w:r>
              </w:p>
              <w:p w14:paraId="472B7ADC" w14:textId="37A82195" w:rsidR="003F0D73" w:rsidRDefault="00A16F01" w:rsidP="00C27FAB">
                <w:proofErr w:type="spellStart"/>
                <w:r>
                  <w:t>Münter</w:t>
                </w:r>
                <w:proofErr w:type="spellEnd"/>
                <w:r>
                  <w:t xml:space="preserve"> acquired an international reputation through solo and group exhibitions in France, G</w:t>
                </w:r>
                <w:r w:rsidR="0089786A">
                  <w:t>ermany, Japan, Russia, and more</w:t>
                </w:r>
                <w:r>
                  <w:t xml:space="preserve">. She lived for an extended period in Sweden and Denmark during World War I and maintained her international profile and involvement with Expressionism during the Weimar Republic, participating in exhibitions of the November Group (1921) and of the Blue Rider (USA, 1926). She continued to exhibit through the first years of the Third Reich: encouraged by her companion Johannes </w:t>
                </w:r>
                <w:proofErr w:type="spellStart"/>
                <w:r>
                  <w:t>Eichner</w:t>
                </w:r>
                <w:proofErr w:type="spellEnd"/>
                <w:r>
                  <w:t>, whom she had met in 1927, she concentrated on subjects that appealed to the regime and participated in the 1936 travel</w:t>
                </w:r>
                <w:r w:rsidR="000516E1">
                  <w:t>ling</w:t>
                </w:r>
                <w:r w:rsidR="00870A01">
                  <w:t xml:space="preserve"> ‘Adolf Hitler's Streets in Art.</w:t>
                </w:r>
                <w:r w:rsidR="000516E1">
                  <w:t>’</w:t>
                </w:r>
                <w:r>
                  <w:t xml:space="preserve"> During World War II, howev</w:t>
                </w:r>
                <w:bookmarkStart w:id="0" w:name="_GoBack"/>
                <w:bookmarkEnd w:id="0"/>
                <w:r>
                  <w:t xml:space="preserve">er, she kept a low profile. Public acclaim returned after the war with a retrospective at the </w:t>
                </w:r>
                <w:proofErr w:type="spellStart"/>
                <w:r>
                  <w:t>Städtische</w:t>
                </w:r>
                <w:proofErr w:type="spellEnd"/>
                <w:r>
                  <w:t xml:space="preserve"> </w:t>
                </w:r>
                <w:proofErr w:type="spellStart"/>
                <w:r>
                  <w:t>Galerie</w:t>
                </w:r>
                <w:proofErr w:type="spellEnd"/>
                <w:r>
                  <w:t xml:space="preserve"> </w:t>
                </w:r>
                <w:proofErr w:type="spellStart"/>
                <w:r>
                  <w:t>im</w:t>
                </w:r>
                <w:proofErr w:type="spellEnd"/>
                <w:r>
                  <w:t xml:space="preserve"> </w:t>
                </w:r>
                <w:proofErr w:type="spellStart"/>
                <w:r>
                  <w:t>Lenbachhaus</w:t>
                </w:r>
                <w:proofErr w:type="spellEnd"/>
                <w:r>
                  <w:t xml:space="preserve"> (1949) and representation at the </w:t>
                </w:r>
                <w:r w:rsidRPr="000516E1">
                  <w:rPr>
                    <w:i/>
                  </w:rPr>
                  <w:t>25th Venice Biennale</w:t>
                </w:r>
                <w:r>
                  <w:t xml:space="preserve"> (1950) and the first </w:t>
                </w:r>
                <w:proofErr w:type="spellStart"/>
                <w:r w:rsidRPr="000516E1">
                  <w:rPr>
                    <w:i/>
                  </w:rPr>
                  <w:t>documenta</w:t>
                </w:r>
                <w:proofErr w:type="spellEnd"/>
                <w:r>
                  <w:t xml:space="preserve"> in Kassel (1955). </w:t>
                </w:r>
              </w:p>
            </w:tc>
          </w:sdtContent>
        </w:sdt>
      </w:tr>
      <w:tr w:rsidR="003235A7" w14:paraId="65589C45" w14:textId="77777777" w:rsidTr="003235A7">
        <w:tc>
          <w:tcPr>
            <w:tcW w:w="9016" w:type="dxa"/>
          </w:tcPr>
          <w:p w14:paraId="477A07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EFF92262EC3A4DA23F2C437617DEE6"/>
              </w:placeholder>
            </w:sdtPr>
            <w:sdtEndPr/>
            <w:sdtContent>
              <w:p w14:paraId="7C796CEF" w14:textId="77777777" w:rsidR="008A0FBE" w:rsidRDefault="0086087A" w:rsidP="008A0FBE">
                <w:sdt>
                  <w:sdtPr>
                    <w:id w:val="-33348312"/>
                    <w:citation/>
                  </w:sdtPr>
                  <w:sdtEndPr/>
                  <w:sdtContent>
                    <w:r w:rsidR="008A0FBE">
                      <w:fldChar w:fldCharType="begin"/>
                    </w:r>
                    <w:r w:rsidR="008A0FBE">
                      <w:rPr>
                        <w:lang w:val="en-US"/>
                      </w:rPr>
                      <w:instrText xml:space="preserve"> CITATION Beh05 \l 1033 </w:instrText>
                    </w:r>
                    <w:r w:rsidR="008A0FBE">
                      <w:fldChar w:fldCharType="separate"/>
                    </w:r>
                    <w:r w:rsidR="008A0FBE">
                      <w:rPr>
                        <w:noProof/>
                        <w:lang w:val="en-US"/>
                      </w:rPr>
                      <w:t xml:space="preserve"> </w:t>
                    </w:r>
                    <w:r w:rsidR="008A0FBE" w:rsidRPr="008A0FBE">
                      <w:rPr>
                        <w:noProof/>
                        <w:lang w:val="en-US"/>
                      </w:rPr>
                      <w:t>(Behr and Hoberg)</w:t>
                    </w:r>
                    <w:r w:rsidR="008A0FBE">
                      <w:fldChar w:fldCharType="end"/>
                    </w:r>
                  </w:sdtContent>
                </w:sdt>
              </w:p>
              <w:p w14:paraId="2B833E17" w14:textId="77777777" w:rsidR="008A0FBE" w:rsidRDefault="008A0FBE" w:rsidP="008A0FBE"/>
              <w:p w14:paraId="2AD1611B" w14:textId="77777777" w:rsidR="008A0FBE" w:rsidRDefault="0086087A" w:rsidP="008A0FBE">
                <w:sdt>
                  <w:sdtPr>
                    <w:id w:val="-291056376"/>
                    <w:citation/>
                  </w:sdtPr>
                  <w:sdtEndPr/>
                  <w:sdtContent>
                    <w:r w:rsidR="008A0FBE">
                      <w:fldChar w:fldCharType="begin"/>
                    </w:r>
                    <w:r w:rsidR="008A0FBE">
                      <w:rPr>
                        <w:lang w:val="en-US"/>
                      </w:rPr>
                      <w:instrText xml:space="preserve"> CITATION Hel97 \l 1033 </w:instrText>
                    </w:r>
                    <w:r w:rsidR="008A0FBE">
                      <w:fldChar w:fldCharType="separate"/>
                    </w:r>
                    <w:r w:rsidR="008A0FBE" w:rsidRPr="008A0FBE">
                      <w:rPr>
                        <w:noProof/>
                        <w:lang w:val="en-US"/>
                      </w:rPr>
                      <w:t>(Heller)</w:t>
                    </w:r>
                    <w:r w:rsidR="008A0FBE">
                      <w:fldChar w:fldCharType="end"/>
                    </w:r>
                  </w:sdtContent>
                </w:sdt>
              </w:p>
              <w:p w14:paraId="7FA021A5" w14:textId="77777777" w:rsidR="008A0FBE" w:rsidRDefault="008A0FBE" w:rsidP="008A0FBE"/>
              <w:p w14:paraId="705DAC93" w14:textId="77777777" w:rsidR="008A0FBE" w:rsidRDefault="0086087A" w:rsidP="008A0FBE">
                <w:sdt>
                  <w:sdtPr>
                    <w:id w:val="-1493328732"/>
                    <w:citation/>
                  </w:sdtPr>
                  <w:sdtEndPr/>
                  <w:sdtContent>
                    <w:r w:rsidR="008A0FBE">
                      <w:fldChar w:fldCharType="begin"/>
                    </w:r>
                    <w:r w:rsidR="008A0FBE">
                      <w:rPr>
                        <w:lang w:val="en-US"/>
                      </w:rPr>
                      <w:instrText xml:space="preserve"> CITATION Hob94 \l 1033 </w:instrText>
                    </w:r>
                    <w:r w:rsidR="008A0FBE">
                      <w:fldChar w:fldCharType="separate"/>
                    </w:r>
                    <w:r w:rsidR="008A0FBE" w:rsidRPr="008A0FBE">
                      <w:rPr>
                        <w:noProof/>
                        <w:lang w:val="en-US"/>
                      </w:rPr>
                      <w:t>(Hoberg)</w:t>
                    </w:r>
                    <w:r w:rsidR="008A0FBE">
                      <w:fldChar w:fldCharType="end"/>
                    </w:r>
                  </w:sdtContent>
                </w:sdt>
                <w:r w:rsidR="008A0FBE">
                  <w:br/>
                </w:r>
                <w:r w:rsidR="008A0FBE">
                  <w:br/>
                </w:r>
                <w:sdt>
                  <w:sdtPr>
                    <w:id w:val="515736894"/>
                    <w:citation/>
                  </w:sdtPr>
                  <w:sdtEndPr/>
                  <w:sdtContent>
                    <w:r w:rsidR="008A0FBE">
                      <w:fldChar w:fldCharType="begin"/>
                    </w:r>
                    <w:r w:rsidR="008A0FBE">
                      <w:rPr>
                        <w:lang w:val="en-US"/>
                      </w:rPr>
                      <w:instrText xml:space="preserve"> CITATION Hob92 \l 1033 </w:instrText>
                    </w:r>
                    <w:r w:rsidR="008A0FBE">
                      <w:fldChar w:fldCharType="separate"/>
                    </w:r>
                    <w:r w:rsidR="008A0FBE" w:rsidRPr="008A0FBE">
                      <w:rPr>
                        <w:noProof/>
                        <w:lang w:val="en-US"/>
                      </w:rPr>
                      <w:t>(Hoberg and Friedel, Gabriele Münter, 1877-1962: Retrospektive)</w:t>
                    </w:r>
                    <w:r w:rsidR="008A0FBE">
                      <w:fldChar w:fldCharType="end"/>
                    </w:r>
                  </w:sdtContent>
                </w:sdt>
              </w:p>
              <w:p w14:paraId="5C6785F9" w14:textId="77777777" w:rsidR="008A0FBE" w:rsidRDefault="008A0FBE" w:rsidP="008A0FBE"/>
              <w:p w14:paraId="2F90E973" w14:textId="09BA4136" w:rsidR="003235A7" w:rsidRDefault="0086087A" w:rsidP="008A0FBE">
                <w:sdt>
                  <w:sdtPr>
                    <w:id w:val="843284253"/>
                    <w:citation/>
                  </w:sdtPr>
                  <w:sdtEndPr/>
                  <w:sdtContent>
                    <w:r w:rsidR="008A0FBE">
                      <w:fldChar w:fldCharType="begin"/>
                    </w:r>
                    <w:r w:rsidR="008A0FBE">
                      <w:rPr>
                        <w:lang w:val="en-US"/>
                      </w:rPr>
                      <w:instrText xml:space="preserve"> CITATION Obl14 \l 1033 </w:instrText>
                    </w:r>
                    <w:r w:rsidR="008A0FBE">
                      <w:fldChar w:fldCharType="separate"/>
                    </w:r>
                    <w:r w:rsidR="008A0FBE" w:rsidRPr="008A0FBE">
                      <w:rPr>
                        <w:noProof/>
                        <w:lang w:val="en-US"/>
                      </w:rPr>
                      <w:t>(Obler)</w:t>
                    </w:r>
                    <w:r w:rsidR="008A0FBE">
                      <w:fldChar w:fldCharType="end"/>
                    </w:r>
                  </w:sdtContent>
                </w:sdt>
              </w:p>
            </w:sdtContent>
          </w:sdt>
        </w:tc>
      </w:tr>
    </w:tbl>
    <w:p w14:paraId="136FE57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FA31F" w14:textId="77777777" w:rsidR="0089786A" w:rsidRDefault="0089786A" w:rsidP="007A0D55">
      <w:pPr>
        <w:spacing w:after="0" w:line="240" w:lineRule="auto"/>
      </w:pPr>
      <w:r>
        <w:separator/>
      </w:r>
    </w:p>
  </w:endnote>
  <w:endnote w:type="continuationSeparator" w:id="0">
    <w:p w14:paraId="0043E5AD" w14:textId="77777777" w:rsidR="0089786A" w:rsidRDefault="008978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3336" w14:textId="77777777" w:rsidR="0089786A" w:rsidRDefault="0089786A" w:rsidP="007A0D55">
      <w:pPr>
        <w:spacing w:after="0" w:line="240" w:lineRule="auto"/>
      </w:pPr>
      <w:r>
        <w:separator/>
      </w:r>
    </w:p>
  </w:footnote>
  <w:footnote w:type="continuationSeparator" w:id="0">
    <w:p w14:paraId="07258340" w14:textId="77777777" w:rsidR="0089786A" w:rsidRDefault="008978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0027" w14:textId="77777777" w:rsidR="0089786A" w:rsidRDefault="0089786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2CF13" w14:textId="77777777" w:rsidR="0089786A" w:rsidRDefault="008978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BC"/>
    <w:rsid w:val="00007EBC"/>
    <w:rsid w:val="00032559"/>
    <w:rsid w:val="000516E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6D22"/>
    <w:rsid w:val="00780D95"/>
    <w:rsid w:val="00780DC7"/>
    <w:rsid w:val="007A0D55"/>
    <w:rsid w:val="007B3377"/>
    <w:rsid w:val="007E5F44"/>
    <w:rsid w:val="00804DD1"/>
    <w:rsid w:val="00821DE3"/>
    <w:rsid w:val="00846CE1"/>
    <w:rsid w:val="0086087A"/>
    <w:rsid w:val="00870A01"/>
    <w:rsid w:val="0089786A"/>
    <w:rsid w:val="008A0FBE"/>
    <w:rsid w:val="008A5B87"/>
    <w:rsid w:val="00917B4B"/>
    <w:rsid w:val="00922950"/>
    <w:rsid w:val="009262FB"/>
    <w:rsid w:val="009A7264"/>
    <w:rsid w:val="009D1606"/>
    <w:rsid w:val="009E18A1"/>
    <w:rsid w:val="009E73D7"/>
    <w:rsid w:val="009F6B60"/>
    <w:rsid w:val="00A16F01"/>
    <w:rsid w:val="00A27D2C"/>
    <w:rsid w:val="00A76FD9"/>
    <w:rsid w:val="00A80DCF"/>
    <w:rsid w:val="00AA263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 w:type="paragraph" w:styleId="Caption">
    <w:name w:val="caption"/>
    <w:basedOn w:val="Normal"/>
    <w:next w:val="Normal"/>
    <w:uiPriority w:val="35"/>
    <w:semiHidden/>
    <w:qFormat/>
    <w:rsid w:val="009262F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19090D871BC947908006EF416304CE"/>
        <w:category>
          <w:name w:val="General"/>
          <w:gallery w:val="placeholder"/>
        </w:category>
        <w:types>
          <w:type w:val="bbPlcHdr"/>
        </w:types>
        <w:behaviors>
          <w:behavior w:val="content"/>
        </w:behaviors>
        <w:guid w:val="{86983CAE-60CA-A54F-9BD6-E79506A66865}"/>
      </w:docPartPr>
      <w:docPartBody>
        <w:p w:rsidR="002877FD" w:rsidRDefault="002877FD">
          <w:pPr>
            <w:pStyle w:val="3719090D871BC947908006EF416304CE"/>
          </w:pPr>
          <w:r w:rsidRPr="00CC586D">
            <w:rPr>
              <w:rStyle w:val="PlaceholderText"/>
              <w:b/>
              <w:color w:val="FFFFFF" w:themeColor="background1"/>
            </w:rPr>
            <w:t>[Salutation]</w:t>
          </w:r>
        </w:p>
      </w:docPartBody>
    </w:docPart>
    <w:docPart>
      <w:docPartPr>
        <w:name w:val="05CFB8CF87C09F49ABBE9F15693F915B"/>
        <w:category>
          <w:name w:val="General"/>
          <w:gallery w:val="placeholder"/>
        </w:category>
        <w:types>
          <w:type w:val="bbPlcHdr"/>
        </w:types>
        <w:behaviors>
          <w:behavior w:val="content"/>
        </w:behaviors>
        <w:guid w:val="{42105699-BD5A-2D41-8EE1-EECE6847A534}"/>
      </w:docPartPr>
      <w:docPartBody>
        <w:p w:rsidR="002877FD" w:rsidRDefault="002877FD">
          <w:pPr>
            <w:pStyle w:val="05CFB8CF87C09F49ABBE9F15693F915B"/>
          </w:pPr>
          <w:r>
            <w:rPr>
              <w:rStyle w:val="PlaceholderText"/>
            </w:rPr>
            <w:t>[First name]</w:t>
          </w:r>
        </w:p>
      </w:docPartBody>
    </w:docPart>
    <w:docPart>
      <w:docPartPr>
        <w:name w:val="0F6F1B1189871D4985549CCD136EE370"/>
        <w:category>
          <w:name w:val="General"/>
          <w:gallery w:val="placeholder"/>
        </w:category>
        <w:types>
          <w:type w:val="bbPlcHdr"/>
        </w:types>
        <w:behaviors>
          <w:behavior w:val="content"/>
        </w:behaviors>
        <w:guid w:val="{C7741891-6133-1A44-B9A5-E438689EF34E}"/>
      </w:docPartPr>
      <w:docPartBody>
        <w:p w:rsidR="002877FD" w:rsidRDefault="002877FD">
          <w:pPr>
            <w:pStyle w:val="0F6F1B1189871D4985549CCD136EE370"/>
          </w:pPr>
          <w:r>
            <w:rPr>
              <w:rStyle w:val="PlaceholderText"/>
            </w:rPr>
            <w:t>[Middle name]</w:t>
          </w:r>
        </w:p>
      </w:docPartBody>
    </w:docPart>
    <w:docPart>
      <w:docPartPr>
        <w:name w:val="E8717E0DE7D4FA4EB8753365603FB04C"/>
        <w:category>
          <w:name w:val="General"/>
          <w:gallery w:val="placeholder"/>
        </w:category>
        <w:types>
          <w:type w:val="bbPlcHdr"/>
        </w:types>
        <w:behaviors>
          <w:behavior w:val="content"/>
        </w:behaviors>
        <w:guid w:val="{39ADCCCA-B72B-9A4F-BDED-0C71FBF236E0}"/>
      </w:docPartPr>
      <w:docPartBody>
        <w:p w:rsidR="002877FD" w:rsidRDefault="002877FD">
          <w:pPr>
            <w:pStyle w:val="E8717E0DE7D4FA4EB8753365603FB04C"/>
          </w:pPr>
          <w:r>
            <w:rPr>
              <w:rStyle w:val="PlaceholderText"/>
            </w:rPr>
            <w:t>[Last name]</w:t>
          </w:r>
        </w:p>
      </w:docPartBody>
    </w:docPart>
    <w:docPart>
      <w:docPartPr>
        <w:name w:val="2CE4E939E7A3FE44B1C9EE7B1E11FEC2"/>
        <w:category>
          <w:name w:val="General"/>
          <w:gallery w:val="placeholder"/>
        </w:category>
        <w:types>
          <w:type w:val="bbPlcHdr"/>
        </w:types>
        <w:behaviors>
          <w:behavior w:val="content"/>
        </w:behaviors>
        <w:guid w:val="{799B8717-6F88-884D-9680-91C54DDAB3CA}"/>
      </w:docPartPr>
      <w:docPartBody>
        <w:p w:rsidR="002877FD" w:rsidRDefault="002877FD">
          <w:pPr>
            <w:pStyle w:val="2CE4E939E7A3FE44B1C9EE7B1E11FEC2"/>
          </w:pPr>
          <w:r>
            <w:rPr>
              <w:rStyle w:val="PlaceholderText"/>
            </w:rPr>
            <w:t>[Enter your biography]</w:t>
          </w:r>
        </w:p>
      </w:docPartBody>
    </w:docPart>
    <w:docPart>
      <w:docPartPr>
        <w:name w:val="21BC51F9C00A8344B787EAFA2B981E18"/>
        <w:category>
          <w:name w:val="General"/>
          <w:gallery w:val="placeholder"/>
        </w:category>
        <w:types>
          <w:type w:val="bbPlcHdr"/>
        </w:types>
        <w:behaviors>
          <w:behavior w:val="content"/>
        </w:behaviors>
        <w:guid w:val="{34FEC657-F4AC-3243-A449-CD38FC5CE340}"/>
      </w:docPartPr>
      <w:docPartBody>
        <w:p w:rsidR="002877FD" w:rsidRDefault="002877FD">
          <w:pPr>
            <w:pStyle w:val="21BC51F9C00A8344B787EAFA2B981E18"/>
          </w:pPr>
          <w:r>
            <w:rPr>
              <w:rStyle w:val="PlaceholderText"/>
            </w:rPr>
            <w:t>[Enter the institution with which you are affiliated]</w:t>
          </w:r>
        </w:p>
      </w:docPartBody>
    </w:docPart>
    <w:docPart>
      <w:docPartPr>
        <w:name w:val="FBCFDD3ED454DC419E83A8C9E0EBBD38"/>
        <w:category>
          <w:name w:val="General"/>
          <w:gallery w:val="placeholder"/>
        </w:category>
        <w:types>
          <w:type w:val="bbPlcHdr"/>
        </w:types>
        <w:behaviors>
          <w:behavior w:val="content"/>
        </w:behaviors>
        <w:guid w:val="{F0E711DF-BCFD-B047-993F-0441AEB74A54}"/>
      </w:docPartPr>
      <w:docPartBody>
        <w:p w:rsidR="002877FD" w:rsidRDefault="002877FD">
          <w:pPr>
            <w:pStyle w:val="FBCFDD3ED454DC419E83A8C9E0EBBD38"/>
          </w:pPr>
          <w:r w:rsidRPr="00EF74F7">
            <w:rPr>
              <w:b/>
              <w:color w:val="808080" w:themeColor="background1" w:themeShade="80"/>
            </w:rPr>
            <w:t>[Enter the headword for your article]</w:t>
          </w:r>
        </w:p>
      </w:docPartBody>
    </w:docPart>
    <w:docPart>
      <w:docPartPr>
        <w:name w:val="F6CBF9EB027C8D47B236E62291B9E1DF"/>
        <w:category>
          <w:name w:val="General"/>
          <w:gallery w:val="placeholder"/>
        </w:category>
        <w:types>
          <w:type w:val="bbPlcHdr"/>
        </w:types>
        <w:behaviors>
          <w:behavior w:val="content"/>
        </w:behaviors>
        <w:guid w:val="{18CA1A7F-330C-1542-90C2-FFC5F8748244}"/>
      </w:docPartPr>
      <w:docPartBody>
        <w:p w:rsidR="002877FD" w:rsidRDefault="002877FD">
          <w:pPr>
            <w:pStyle w:val="F6CBF9EB027C8D47B236E62291B9E1D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E1A5A8FA07A43AF847C05EE4DFA83"/>
        <w:category>
          <w:name w:val="General"/>
          <w:gallery w:val="placeholder"/>
        </w:category>
        <w:types>
          <w:type w:val="bbPlcHdr"/>
        </w:types>
        <w:behaviors>
          <w:behavior w:val="content"/>
        </w:behaviors>
        <w:guid w:val="{0A5ADC4E-1C90-B440-AA0B-7E0DBA6C64D1}"/>
      </w:docPartPr>
      <w:docPartBody>
        <w:p w:rsidR="002877FD" w:rsidRDefault="002877FD">
          <w:pPr>
            <w:pStyle w:val="C2FE1A5A8FA07A43AF847C05EE4DFA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CD259C2A85D4C950CEFCE13D6B4A9"/>
        <w:category>
          <w:name w:val="General"/>
          <w:gallery w:val="placeholder"/>
        </w:category>
        <w:types>
          <w:type w:val="bbPlcHdr"/>
        </w:types>
        <w:behaviors>
          <w:behavior w:val="content"/>
        </w:behaviors>
        <w:guid w:val="{88A0F5F0-D5D3-894D-8DA7-E41DE40B8AA3}"/>
      </w:docPartPr>
      <w:docPartBody>
        <w:p w:rsidR="002877FD" w:rsidRDefault="002877FD">
          <w:pPr>
            <w:pStyle w:val="F09CD259C2A85D4C950CEFCE13D6B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EFF92262EC3A4DA23F2C437617DEE6"/>
        <w:category>
          <w:name w:val="General"/>
          <w:gallery w:val="placeholder"/>
        </w:category>
        <w:types>
          <w:type w:val="bbPlcHdr"/>
        </w:types>
        <w:behaviors>
          <w:behavior w:val="content"/>
        </w:behaviors>
        <w:guid w:val="{BB37CAF9-59D3-6641-803B-3E03BF863DFC}"/>
      </w:docPartPr>
      <w:docPartBody>
        <w:p w:rsidR="002877FD" w:rsidRDefault="002877FD">
          <w:pPr>
            <w:pStyle w:val="8DEFF92262EC3A4DA23F2C437617DE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287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Beh05</b:Tag>
    <b:SourceType>Book</b:SourceType>
    <b:Guid>{930EA042-A6DA-9E44-A1ED-7F87D6ACE9D0}</b:Guid>
    <b:Title>Gabriele Münter: The Search for Expression, 1906-1917 </b:Title>
    <b:Publisher>Courtauld</b:Publisher>
    <b:City>London</b:City>
    <b:Year>2005</b:Year>
    <b:Author>
      <b:Author>
        <b:NameList>
          <b:Person>
            <b:Last>Behr</b:Last>
            <b:First>Shulamith</b:First>
          </b:Person>
          <b:Person>
            <b:Last>Hoberg</b:Last>
            <b:First>Annegret</b:First>
          </b:Person>
        </b:NameList>
      </b:Author>
    </b:Author>
    <b:RefOrder>1</b:RefOrder>
  </b:Source>
  <b:Source>
    <b:Tag>Hel97</b:Tag>
    <b:SourceType>Book</b:SourceType>
    <b:Guid>{9CCA7F6B-A417-C14A-8F63-3C41791107A4}</b:Guid>
    <b:Author>
      <b:Author>
        <b:NameList>
          <b:Person>
            <b:Last>Heller</b:Last>
            <b:First>Reinhold</b:First>
          </b:Person>
        </b:NameList>
      </b:Author>
    </b:Author>
    <b:Title>Gabriele Münter: The Years of Expressionism, 1903-1920</b:Title>
    <b:City>Munich</b:City>
    <b:Publisher>Prestel</b:Publisher>
    <b:Year>1997</b:Year>
    <b:RefOrder>2</b:RefOrder>
  </b:Source>
  <b:Source>
    <b:Tag>Hob94</b:Tag>
    <b:SourceType>Book</b:SourceType>
    <b:Guid>{3977F6F4-15DC-464C-99EA-A7E73DF4BA86}</b:Guid>
    <b:Author>
      <b:Author>
        <b:NameList>
          <b:Person>
            <b:Last>Hoberg</b:Last>
            <b:First>Annegret</b:First>
          </b:Person>
        </b:NameList>
      </b:Author>
      <b:Translator>
        <b:NameList>
          <b:Person>
            <b:Last>Robson</b:Last>
            <b:First>Ian</b:First>
          </b:Person>
        </b:NameList>
      </b:Translator>
    </b:Author>
    <b:Title>Wassily Kandinsky and Gabriele Münter: Letters and Reminiscences, 1902-1914</b:Title>
    <b:City>Munich</b:City>
    <b:Publisher>Prestel</b:Publisher>
    <b:Year>1994</b:Year>
    <b:RefOrder>3</b:RefOrder>
  </b:Source>
  <b:Source>
    <b:Tag>Hob92</b:Tag>
    <b:SourceType>Book</b:SourceType>
    <b:Guid>{1FB05BF5-B922-A64D-82A3-5F8D9C8AB644}</b:Guid>
    <b:Title>Gabriele Münter, 1877-1962: Retrospektive</b:Title>
    <b:City>Munich</b:City>
    <b:Publisher>Prestel</b:Publisher>
    <b:Year>1992</b:Year>
    <b:Author>
      <b:Editor>
        <b:NameList>
          <b:Person>
            <b:Last>Hoberg</b:Last>
            <b:First>Annegret</b:First>
          </b:Person>
          <b:Person>
            <b:Last>Friedel</b:Last>
            <b:First>Helmut</b:First>
          </b:Person>
        </b:NameList>
      </b:Editor>
    </b:Author>
    <b:RefOrder>4</b:RefOrder>
  </b:Source>
  <b:Source>
    <b:Tag>Obl14</b:Tag>
    <b:SourceType>Book</b:SourceType>
    <b:Guid>{65BD67B6-4E0D-4046-B85B-6F8F37C39AD9}</b:Guid>
    <b:Author>
      <b:Author>
        <b:NameList>
          <b:Person>
            <b:Last>Obler</b:Last>
            <b:First>Bibiana</b:First>
          </b:Person>
        </b:NameList>
      </b:Author>
    </b:Author>
    <b:Title>Intimate Collaborations: Kandinsky and Münter, Arp and Taeuber</b:Title>
    <b:City>New Haven</b:City>
    <b:Publisher>Yale UP</b:Publisher>
    <b:Year>2014</b:Year>
    <b:RefOrder>5</b:RefOrder>
  </b:Source>
</b:Sources>
</file>

<file path=customXml/itemProps1.xml><?xml version="1.0" encoding="utf-8"?>
<ds:datastoreItem xmlns:ds="http://schemas.openxmlformats.org/officeDocument/2006/customXml" ds:itemID="{2FFEDF07-D8A8-9D46-BC35-1EFB01EE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11</cp:revision>
  <dcterms:created xsi:type="dcterms:W3CDTF">2015-01-03T05:14:00Z</dcterms:created>
  <dcterms:modified xsi:type="dcterms:W3CDTF">2015-01-18T22:43:00Z</dcterms:modified>
</cp:coreProperties>
</file>