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0A19BF0A19E447FB8B2F7918F11E61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C70BEAB73FC436EB843CBC19AC3A35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A4F30" w:rsidP="009A4F30">
                <w:r>
                  <w:t>Clare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FDD5162BF404DD89F63903BFA486B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519100FF0243F0BDE6BB37FE66DD7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A4F30" w:rsidP="009A4F30">
                <w:r>
                  <w:t>Davies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6E05D843594434815F054EE8F5334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0F2B977B9164C27BAA33DFE6E2D5F8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88AB26A8F0D449AE840D2B11A023D6E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A4F30" w:rsidP="009A4F30">
                <w:pPr>
                  <w:rPr>
                    <w:b/>
                  </w:rPr>
                </w:pPr>
                <w:proofErr w:type="spellStart"/>
                <w:r w:rsidRPr="009A4F30">
                  <w:rPr>
                    <w:lang w:val="en-US"/>
                  </w:rPr>
                  <w:t>Naghi</w:t>
                </w:r>
                <w:proofErr w:type="spellEnd"/>
                <w:r w:rsidRPr="009A4F30">
                  <w:rPr>
                    <w:lang w:val="en-US"/>
                  </w:rPr>
                  <w:t>, Mohamed Musa (1888-1956)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A2DD6F26A7A4B87BF0A1D8B582903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B5C7B70A36043F98D7787857E7657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9A4F30" w:rsidRDefault="009A4F30" w:rsidP="00E85A05">
                <w:pPr>
                  <w:rPr>
                    <w:rFonts w:ascii="Times New Roman Bold" w:hAnsi="Times New Roman Bold"/>
                    <w:color w:val="141414"/>
                    <w:u w:val="single"/>
                  </w:rPr>
                </w:pPr>
                <w:r>
                  <w:t xml:space="preserve">The painter Mohamed </w:t>
                </w:r>
                <w:proofErr w:type="spellStart"/>
                <w:r>
                  <w:t>Naghi</w:t>
                </w:r>
                <w:proofErr w:type="spellEnd"/>
                <w:r>
                  <w:t xml:space="preserve"> is remembered today alongside Mahmoud </w:t>
                </w:r>
                <w:proofErr w:type="spellStart"/>
                <w:r>
                  <w:t>Mukhtar</w:t>
                </w:r>
                <w:proofErr w:type="spellEnd"/>
                <w:r>
                  <w:t xml:space="preserve"> (1891-1934) and </w:t>
                </w:r>
                <w:r w:rsidRPr="00B767D4">
                  <w:t>Mahmoud Said</w:t>
                </w:r>
                <w:r>
                  <w:t xml:space="preserve"> (1897-1964) as one of the core members of the so-called first generation of Egyptian artists. His early nationalist paintings executed after the Uprising of 1919 won him recognition. Paintings produced in 1931-32 while </w:t>
                </w:r>
                <w:proofErr w:type="spellStart"/>
                <w:r>
                  <w:t>Naghi</w:t>
                </w:r>
                <w:proofErr w:type="spellEnd"/>
                <w:r>
                  <w:t xml:space="preserve"> was in Ethiopia brought him further acclaim. After the system of foreign privileges was abolished in 1937, a number of Egyptian artists, including </w:t>
                </w:r>
                <w:proofErr w:type="spellStart"/>
                <w:r>
                  <w:t>Naghi</w:t>
                </w:r>
                <w:proofErr w:type="spellEnd"/>
                <w:r>
                  <w:t>, were assigned high-ranking positions in state art institutions.</w:t>
                </w:r>
                <w:r w:rsidRPr="00CC0B01">
                  <w:t xml:space="preserve"> </w:t>
                </w:r>
                <w:r>
                  <w:t xml:space="preserve">A ‘Pioneer’ artist, Mohamed </w:t>
                </w:r>
                <w:proofErr w:type="spellStart"/>
                <w:r>
                  <w:t>Naghi</w:t>
                </w:r>
                <w:proofErr w:type="spellEnd"/>
                <w:r>
                  <w:t xml:space="preserve"> sought to develop a school of modern Egyptian art that was true to what he perceived as art’s universal foundations (and especially </w:t>
                </w:r>
                <w:proofErr w:type="gramStart"/>
                <w:r>
                  <w:t>an equilibrium</w:t>
                </w:r>
                <w:proofErr w:type="gramEnd"/>
                <w:r>
                  <w:t xml:space="preserve"> both formal and moral in nature) and the roots of an Egyptian identity grounded in a metaphysics of the collective. Like many of his contemporaries, his work drew on motifs referencing the art and intellectual history of </w:t>
                </w:r>
                <w:proofErr w:type="spellStart"/>
                <w:r>
                  <w:t>Pharaonic</w:t>
                </w:r>
                <w:proofErr w:type="spellEnd"/>
                <w:r>
                  <w:t xml:space="preserve"> Egypt, Egypt’s Islamic Golden Age, and a shared culture of the Mediterranean basin, as well as important contemporary literary and artistic figures. However, it was his interest in Egyptian folk art (</w:t>
                </w:r>
                <w:r>
                  <w:rPr>
                    <w:rFonts w:ascii="Times New Roman Italic" w:hAnsi="Times New Roman Italic"/>
                  </w:rPr>
                  <w:t>al-</w:t>
                </w:r>
                <w:proofErr w:type="spellStart"/>
                <w:r>
                  <w:rPr>
                    <w:rFonts w:ascii="Times New Roman Italic" w:hAnsi="Times New Roman Italic"/>
                  </w:rPr>
                  <w:t>fann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al-</w:t>
                </w:r>
                <w:proofErr w:type="spellStart"/>
                <w:r>
                  <w:rPr>
                    <w:rFonts w:ascii="Times New Roman Italic" w:hAnsi="Times New Roman Italic"/>
                  </w:rPr>
                  <w:t>sha‘abi</w:t>
                </w:r>
                <w:proofErr w:type="spellEnd"/>
                <w:r>
                  <w:t>) that would prove most influential for subsequent generations. Despite early setbacks in his dealings with the art establishment, he eventually became a powerful figure in Egypt’s new state arts sector and argued for the need for state intervention in cultivating an Egyptian artistic renaissance.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5D177258234AF892B1DF0165C350E2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A4F30" w:rsidRDefault="009A4F30" w:rsidP="009A4F30">
                <w:pPr>
                  <w:rPr>
                    <w:rFonts w:ascii="Times New Roman Bold" w:hAnsi="Times New Roman Bold"/>
                    <w:color w:val="141414"/>
                    <w:u w:val="single"/>
                  </w:rPr>
                </w:pPr>
                <w:r>
                  <w:t xml:space="preserve">The painter Mohamed </w:t>
                </w:r>
                <w:proofErr w:type="spellStart"/>
                <w:r>
                  <w:t>Naghi</w:t>
                </w:r>
                <w:proofErr w:type="spellEnd"/>
                <w:r>
                  <w:t xml:space="preserve"> is remembered today alongside Mahmoud </w:t>
                </w:r>
                <w:proofErr w:type="spellStart"/>
                <w:r>
                  <w:t>Mukhtar</w:t>
                </w:r>
                <w:proofErr w:type="spellEnd"/>
                <w:r>
                  <w:t xml:space="preserve"> (1891-1934) and </w:t>
                </w:r>
                <w:r w:rsidRPr="00B767D4">
                  <w:t>Mahmoud Said</w:t>
                </w:r>
                <w:r>
                  <w:t xml:space="preserve"> (1897-1964) as one of the core members of the so-called first generation of Egyptian artists. His early nationalist paintings executed after the Uprising of 1919 won him recognition. Paintings produced in 1931-32 while </w:t>
                </w:r>
                <w:proofErr w:type="spellStart"/>
                <w:r>
                  <w:t>Naghi</w:t>
                </w:r>
                <w:proofErr w:type="spellEnd"/>
                <w:r>
                  <w:t xml:space="preserve"> was in Ethiopia brought him further acclaim. After the system of foreign privileges was abolished in 1937, a number of Egyptian artists, including </w:t>
                </w:r>
                <w:proofErr w:type="spellStart"/>
                <w:r>
                  <w:t>Naghi</w:t>
                </w:r>
                <w:proofErr w:type="spellEnd"/>
                <w:r>
                  <w:t>, were assigned high-ranking positions in state art institutions.</w:t>
                </w:r>
                <w:r w:rsidRPr="00CC0B01">
                  <w:t xml:space="preserve"> </w:t>
                </w:r>
                <w:r>
                  <w:t xml:space="preserve">A ‘Pioneer’ artist, Mohamed </w:t>
                </w:r>
                <w:proofErr w:type="spellStart"/>
                <w:r>
                  <w:t>Naghi</w:t>
                </w:r>
                <w:proofErr w:type="spellEnd"/>
                <w:r>
                  <w:t xml:space="preserve"> sought to develop a school of modern Egyptian art that was true to what he perceived as art’s universal foundations (and especially </w:t>
                </w:r>
                <w:proofErr w:type="gramStart"/>
                <w:r>
                  <w:t>an equilibrium</w:t>
                </w:r>
                <w:proofErr w:type="gramEnd"/>
                <w:r>
                  <w:t xml:space="preserve"> both formal and moral in nature) and the roots of an Egyptian identity grounded in a metaphysics of the collective. Like many of his contemporaries, his work drew on motifs referencing the art and intellectual history of </w:t>
                </w:r>
                <w:proofErr w:type="spellStart"/>
                <w:r>
                  <w:t>Pharaonic</w:t>
                </w:r>
                <w:proofErr w:type="spellEnd"/>
                <w:r>
                  <w:t xml:space="preserve"> Egypt, Egypt’s Islamic Golden Age, and a shared culture of the Mediterranean basin, as well as important contemporary literary and artistic figures. However, it was his interest in Egyptian folk art (</w:t>
                </w:r>
                <w:r>
                  <w:rPr>
                    <w:rFonts w:ascii="Times New Roman Italic" w:hAnsi="Times New Roman Italic"/>
                  </w:rPr>
                  <w:t>al-</w:t>
                </w:r>
                <w:proofErr w:type="spellStart"/>
                <w:r>
                  <w:rPr>
                    <w:rFonts w:ascii="Times New Roman Italic" w:hAnsi="Times New Roman Italic"/>
                  </w:rPr>
                  <w:t>fann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al-</w:t>
                </w:r>
                <w:proofErr w:type="spellStart"/>
                <w:r>
                  <w:rPr>
                    <w:rFonts w:ascii="Times New Roman Italic" w:hAnsi="Times New Roman Italic"/>
                  </w:rPr>
                  <w:t>sha‘abi</w:t>
                </w:r>
                <w:proofErr w:type="spellEnd"/>
                <w:r>
                  <w:t>) that would prove most influential for subsequent generations. Despite early setbacks in his dealings with the art establishment, he eventually became a powerful figure in Egypt’s new state arts sector and argued for the need for state intervention in cultivating an Egyptian artistic renaissance.</w:t>
                </w:r>
              </w:p>
              <w:p w:rsidR="009A4F30" w:rsidRDefault="009A4F30" w:rsidP="009A4F30"/>
              <w:p w:rsidR="009A4F30" w:rsidRDefault="009A4F30" w:rsidP="009A4F30">
                <w:proofErr w:type="spellStart"/>
                <w:r>
                  <w:t>Naghi</w:t>
                </w:r>
                <w:proofErr w:type="spellEnd"/>
                <w:r>
                  <w:t xml:space="preserve"> was born in Alexandria on January 17, 1888 to an affluent family with a record of service in </w:t>
                </w:r>
                <w:r>
                  <w:lastRenderedPageBreak/>
                  <w:t>the Egyptian army and civil administration.</w:t>
                </w:r>
                <w:r>
                  <w:rPr>
                    <w:rFonts w:ascii="Times New Roman Bold" w:hAnsi="Times New Roman Bold"/>
                  </w:rPr>
                  <w:t xml:space="preserve"> </w:t>
                </w:r>
                <w:r>
                  <w:t xml:space="preserve">After receiving a law degree at the University of Lyon (1906-1910), he enrolled at the Institute of Fine Arts in Florence (the </w:t>
                </w:r>
                <w:proofErr w:type="spellStart"/>
                <w:r>
                  <w:rPr>
                    <w:rFonts w:ascii="Times New Roman Italic" w:hAnsi="Times New Roman Italic"/>
                  </w:rPr>
                  <w:t>Scuola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</w:t>
                </w:r>
                <w:proofErr w:type="spellStart"/>
                <w:r>
                  <w:rPr>
                    <w:rFonts w:ascii="Times New Roman Italic" w:hAnsi="Times New Roman Italic"/>
                  </w:rPr>
                  <w:t>Libera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del </w:t>
                </w:r>
                <w:proofErr w:type="spellStart"/>
                <w:r>
                  <w:rPr>
                    <w:rFonts w:ascii="Times New Roman Italic" w:hAnsi="Times New Roman Italic"/>
                  </w:rPr>
                  <w:t>Nudo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, </w:t>
                </w:r>
                <w:proofErr w:type="spellStart"/>
                <w:r>
                  <w:rPr>
                    <w:rFonts w:ascii="Times New Roman Italic" w:hAnsi="Times New Roman Italic"/>
                  </w:rPr>
                  <w:t>Instituto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di Belle </w:t>
                </w:r>
                <w:proofErr w:type="spellStart"/>
                <w:r>
                  <w:rPr>
                    <w:rFonts w:ascii="Times New Roman Italic" w:hAnsi="Times New Roman Italic"/>
                  </w:rPr>
                  <w:t>Arti</w:t>
                </w:r>
                <w:proofErr w:type="spellEnd"/>
                <w:r>
                  <w:t xml:space="preserve">) from 1910 to 1914. While a student in France and Italy, </w:t>
                </w:r>
                <w:proofErr w:type="spellStart"/>
                <w:r>
                  <w:t>Naghi</w:t>
                </w:r>
                <w:proofErr w:type="spellEnd"/>
                <w:r>
                  <w:t xml:space="preserve"> frequented local museums and created reproductions of major works. With an eye to more recent developments in the arts, he also produced paintings that engaged with the work of </w:t>
                </w:r>
                <w:proofErr w:type="spellStart"/>
                <w:r>
                  <w:t>Divisionist</w:t>
                </w:r>
                <w:proofErr w:type="spellEnd"/>
                <w:r>
                  <w:t xml:space="preserve"> painters active in northern Italy in the 1890s and early 1900s. In the same period, </w:t>
                </w:r>
                <w:proofErr w:type="spellStart"/>
                <w:r>
                  <w:t>Naghi</w:t>
                </w:r>
                <w:proofErr w:type="spellEnd"/>
                <w:r>
                  <w:t xml:space="preserve"> began taking extended trips to Luxor with the aim of immersing himself in the arts of Ancient Egypt. The outbreak of World War I in 1914 forced </w:t>
                </w:r>
                <w:proofErr w:type="spellStart"/>
                <w:r>
                  <w:t>Naghi</w:t>
                </w:r>
                <w:proofErr w:type="spellEnd"/>
                <w:r>
                  <w:t xml:space="preserve"> to cut his art studies in Florence short and return to Egypt. </w:t>
                </w:r>
              </w:p>
              <w:p w:rsidR="009A4F30" w:rsidRDefault="009A4F30" w:rsidP="009A4F30"/>
              <w:p w:rsidR="009A4F30" w:rsidRDefault="009A4F30" w:rsidP="009A4F30">
                <w:r>
                  <w:t xml:space="preserve">In 1918 he spent time at an </w:t>
                </w:r>
                <w:proofErr w:type="spellStart"/>
                <w:r>
                  <w:t>artists’s</w:t>
                </w:r>
                <w:proofErr w:type="spellEnd"/>
                <w:r>
                  <w:t xml:space="preserve"> colony in </w:t>
                </w:r>
                <w:proofErr w:type="spellStart"/>
                <w:r>
                  <w:t>Giverny</w:t>
                </w:r>
                <w:proofErr w:type="spellEnd"/>
                <w:r>
                  <w:t>, where he hoped to apprentice himself to the eminent if now elderly Impressionist master, Claude Monet (1840-1926). The 1919 Uprising inspired his return to Egypt, where he painted ‘Egyptian Renaissance’ (</w:t>
                </w:r>
                <w:r>
                  <w:rPr>
                    <w:rFonts w:ascii="Times New Roman Italic" w:hAnsi="Times New Roman Italic"/>
                  </w:rPr>
                  <w:t xml:space="preserve">Renaissance </w:t>
                </w:r>
                <w:proofErr w:type="spellStart"/>
                <w:r>
                  <w:rPr>
                    <w:rFonts w:ascii="Times New Roman Italic" w:hAnsi="Times New Roman Italic"/>
                  </w:rPr>
                  <w:t>d’Égypte</w:t>
                </w:r>
                <w:proofErr w:type="spellEnd"/>
                <w:r>
                  <w:t xml:space="preserve">, also </w:t>
                </w:r>
                <w:proofErr w:type="spellStart"/>
                <w:r>
                  <w:rPr>
                    <w:rFonts w:ascii="Times New Roman Italic" w:hAnsi="Times New Roman Italic"/>
                  </w:rPr>
                  <w:t>Mawkab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Isis</w:t>
                </w:r>
                <w:r>
                  <w:t xml:space="preserve">, or </w:t>
                </w:r>
                <w:r>
                  <w:rPr>
                    <w:rFonts w:ascii="Times New Roman Italic" w:hAnsi="Times New Roman Italic"/>
                  </w:rPr>
                  <w:t xml:space="preserve">La Cortège </w:t>
                </w:r>
                <w:proofErr w:type="spellStart"/>
                <w:r>
                  <w:rPr>
                    <w:rFonts w:ascii="Times New Roman Italic" w:hAnsi="Times New Roman Italic"/>
                  </w:rPr>
                  <w:t>d’Isis</w:t>
                </w:r>
                <w:proofErr w:type="spellEnd"/>
                <w:r>
                  <w:t xml:space="preserve">, 1919. Now destroyed. Oil paint, dimensions unknown.) </w:t>
                </w:r>
                <w:proofErr w:type="gramStart"/>
                <w:r>
                  <w:t>which</w:t>
                </w:r>
                <w:proofErr w:type="gramEnd"/>
                <w:r>
                  <w:t xml:space="preserve"> hung for decades in Cairo’s Senate (</w:t>
                </w:r>
                <w:proofErr w:type="spellStart"/>
                <w:r>
                  <w:rPr>
                    <w:rFonts w:ascii="Times New Roman Italic" w:hAnsi="Times New Roman Italic"/>
                  </w:rPr>
                  <w:t>Majlis</w:t>
                </w:r>
                <w:proofErr w:type="spellEnd"/>
                <w:r>
                  <w:rPr>
                    <w:rFonts w:ascii="Times New Roman Italic" w:hAnsi="Times New Roman Italic"/>
                  </w:rPr>
                  <w:t xml:space="preserve"> al-</w:t>
                </w:r>
                <w:proofErr w:type="spellStart"/>
                <w:r>
                  <w:rPr>
                    <w:rFonts w:ascii="Times New Roman Italic" w:hAnsi="Times New Roman Italic"/>
                  </w:rPr>
                  <w:t>Shiyukh</w:t>
                </w:r>
                <w:proofErr w:type="spellEnd"/>
                <w:r>
                  <w:t>). He later described the work as a ‘first attempt at creating an Egyptian pictorial art.’ A series of paintings produced in 1931 and 1932, during a year spent in Ethiopia at the imperial court of Haile Selassie, yielded a number of subsequent high-profile exhibitions in Egypt and Europe.</w:t>
                </w:r>
              </w:p>
              <w:p w:rsidR="009A4F30" w:rsidRDefault="009A4F30" w:rsidP="009A4F30"/>
              <w:p w:rsidR="004F4A33" w:rsidRDefault="009A4F30" w:rsidP="009A4F30">
                <w:r w:rsidRPr="00751FC0">
                  <w:t xml:space="preserve">In 1935, he co-founded the Alexandria Atelier, which almost immediately exerted a powerful influence on the local scene. From 1937 to 1939, he served as the head of the Higher School of Fine Arts; from 1939 to 1947 he occupied the position of director of the Museum of Modern Art in Cairo; between 1947 and 1950 he took on the post of director of the Royal Egyptian Academy in Rome. In 1953, following his return to Egypt, he co-founded the Cairo Atelier. The </w:t>
                </w:r>
                <w:proofErr w:type="spellStart"/>
                <w:r w:rsidRPr="00751FC0">
                  <w:t>Naghi</w:t>
                </w:r>
                <w:proofErr w:type="spellEnd"/>
                <w:r w:rsidRPr="00751FC0">
                  <w:t xml:space="preserve"> Museum was inaugurated at the late artist’s studio in Giza on July 13, 1968.</w:t>
                </w:r>
              </w:p>
              <w:p w:rsidR="004F4A33" w:rsidRDefault="004F4A33" w:rsidP="009A4F30"/>
              <w:p w:rsidR="004F4A33" w:rsidRDefault="004F4A33" w:rsidP="004F4A33">
                <w:pPr>
                  <w:keepNext/>
                </w:pPr>
                <w:r>
                  <w:t>Link: naghi1.jpg</w:t>
                </w:r>
              </w:p>
              <w:p w:rsidR="003F0D73" w:rsidRDefault="004F4A33" w:rsidP="004F4A3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7F2C47">
                  <w:t xml:space="preserve">Mohamed </w:t>
                </w:r>
                <w:proofErr w:type="spellStart"/>
                <w:r w:rsidRPr="007F2C47">
                  <w:t>Naghi</w:t>
                </w:r>
                <w:proofErr w:type="spellEnd"/>
                <w:r w:rsidRPr="007F2C47">
                  <w:t xml:space="preserve">, “The Artist’s Family,” or “The Village,” ca. 1937.  Oil on canvas, ca. 5 x 3 m. Courtesy of the </w:t>
                </w:r>
                <w:proofErr w:type="spellStart"/>
                <w:r w:rsidRPr="007F2C47">
                  <w:t>Naghi</w:t>
                </w:r>
                <w:proofErr w:type="spellEnd"/>
                <w:r w:rsidRPr="007F2C47">
                  <w:t xml:space="preserve"> Museum. Source: </w:t>
                </w:r>
                <w:proofErr w:type="spellStart"/>
                <w:r w:rsidRPr="007F2C47">
                  <w:t>Liliane</w:t>
                </w:r>
                <w:proofErr w:type="spellEnd"/>
                <w:r w:rsidRPr="007F2C47">
                  <w:t xml:space="preserve"> </w:t>
                </w:r>
                <w:proofErr w:type="spellStart"/>
                <w:r w:rsidRPr="007F2C47">
                  <w:t>Karnouk</w:t>
                </w:r>
                <w:proofErr w:type="spellEnd"/>
                <w:r w:rsidRPr="007F2C47">
                  <w:t>, Modern Egyptian Art, 1910-2003. (Cairo: American University in Cairo Press, 2005), 30.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308F7CEB614F0EBE1F667723B2014D"/>
              </w:placeholder>
            </w:sdtPr>
            <w:sdtEndPr/>
            <w:sdtContent>
              <w:p w:rsidR="004E4FBE" w:rsidRDefault="004E4FBE" w:rsidP="004E4FBE"/>
              <w:p w:rsidR="004E4FBE" w:rsidRDefault="004E4FBE" w:rsidP="004E4FBE">
                <w:sdt>
                  <w:sdtPr>
                    <w:id w:val="17391337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alK93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(al-Khadim)</w:t>
                    </w:r>
                    <w:r>
                      <w:fldChar w:fldCharType="end"/>
                    </w:r>
                  </w:sdtContent>
                </w:sdt>
              </w:p>
              <w:p w:rsidR="00424458" w:rsidRDefault="00424458" w:rsidP="00424458"/>
              <w:p w:rsidR="00424458" w:rsidRDefault="006B715A" w:rsidP="00424458">
                <w:sdt>
                  <w:sdtPr>
                    <w:id w:val="-7134322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Aza78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(Azar)</w:t>
                    </w:r>
                    <w:r>
                      <w:fldChar w:fldCharType="end"/>
                    </w:r>
                  </w:sdtContent>
                </w:sdt>
              </w:p>
              <w:p w:rsidR="006B715A" w:rsidRDefault="006B715A" w:rsidP="00424458"/>
              <w:p w:rsidR="006B715A" w:rsidRDefault="006B715A" w:rsidP="00424458">
                <w:sdt>
                  <w:sdtPr>
                    <w:id w:val="-20662531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Far89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(Faraj)</w:t>
                    </w:r>
                    <w:r>
                      <w:fldChar w:fldCharType="end"/>
                    </w:r>
                  </w:sdtContent>
                </w:sdt>
              </w:p>
              <w:p w:rsidR="006B715A" w:rsidRDefault="006B715A" w:rsidP="00424458"/>
              <w:p w:rsidR="006B715A" w:rsidRDefault="006B715A" w:rsidP="00424458">
                <w:sdt>
                  <w:sdtPr>
                    <w:id w:val="4197525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Hus57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(Husayn)</w:t>
                    </w:r>
                    <w:r>
                      <w:fldChar w:fldCharType="end"/>
                    </w:r>
                  </w:sdtContent>
                </w:sdt>
              </w:p>
              <w:p w:rsidR="006B715A" w:rsidRDefault="006B715A" w:rsidP="00424458"/>
              <w:p w:rsidR="006B715A" w:rsidRDefault="00747100" w:rsidP="00424458">
                <w:sdt>
                  <w:sdtPr>
                    <w:id w:val="-17301523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Kan12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(Kane)</w:t>
                    </w:r>
                    <w:r>
                      <w:fldChar w:fldCharType="end"/>
                    </w:r>
                  </w:sdtContent>
                </w:sdt>
              </w:p>
              <w:p w:rsidR="004E4FBE" w:rsidRDefault="004E4FBE" w:rsidP="004E4FBE"/>
              <w:p w:rsidR="004E4FBE" w:rsidRDefault="004E4FBE" w:rsidP="004E4FBE">
                <w:sdt>
                  <w:sdtPr>
                    <w:id w:val="-8322899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Rad751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(Lackany)</w:t>
                    </w:r>
                    <w:r>
                      <w:fldChar w:fldCharType="end"/>
                    </w:r>
                  </w:sdtContent>
                </w:sdt>
              </w:p>
              <w:p w:rsidR="00747100" w:rsidRDefault="00747100" w:rsidP="00424458"/>
              <w:p w:rsidR="00747100" w:rsidRDefault="00747100" w:rsidP="00424458">
                <w:sdt>
                  <w:sdtPr>
                    <w:id w:val="-20153020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Mil12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(Miller)</w:t>
                    </w:r>
                    <w:r>
                      <w:fldChar w:fldCharType="end"/>
                    </w:r>
                  </w:sdtContent>
                </w:sdt>
              </w:p>
              <w:p w:rsidR="00747100" w:rsidRDefault="00747100" w:rsidP="00424458"/>
              <w:p w:rsidR="00747100" w:rsidRDefault="00747100" w:rsidP="00424458">
                <w:sdt>
                  <w:sdtPr>
                    <w:id w:val="623665791"/>
                    <w:citation/>
                  </w:sdtPr>
                  <w:sdtContent>
                    <w:r>
                      <w:fldChar w:fldCharType="begin"/>
                    </w:r>
                    <w:r w:rsidR="003F2D3B">
                      <w:rPr>
                        <w:lang w:val="en-US"/>
                      </w:rPr>
                      <w:instrText xml:space="preserve">CITATION Naj59 \l 1033 </w:instrText>
                    </w:r>
                    <w:r>
                      <w:fldChar w:fldCharType="separate"/>
                    </w:r>
                    <w:r w:rsidR="003F2D3B">
                      <w:rPr>
                        <w:noProof/>
                        <w:lang w:val="en-US"/>
                      </w:rPr>
                      <w:t>(Naji)</w:t>
                    </w:r>
                    <w:r>
                      <w:fldChar w:fldCharType="end"/>
                    </w:r>
                  </w:sdtContent>
                </w:sdt>
              </w:p>
              <w:p w:rsidR="003F2D3B" w:rsidRDefault="003F2D3B" w:rsidP="00424458"/>
              <w:p w:rsidR="003F2D3B" w:rsidRDefault="00AB14DF" w:rsidP="00424458">
                <w:sdt>
                  <w:sdtPr>
                    <w:id w:val="-3941961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Naj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(Naji, Roussillon and Roussillon)</w:t>
                    </w:r>
                    <w:r>
                      <w:fldChar w:fldCharType="end"/>
                    </w:r>
                  </w:sdtContent>
                </w:sdt>
              </w:p>
              <w:p w:rsidR="00AB14DF" w:rsidRDefault="00AB14DF" w:rsidP="00424458"/>
              <w:p w:rsidR="00AB14DF" w:rsidRDefault="00AB14DF" w:rsidP="00424458">
                <w:sdt>
                  <w:sdtPr>
                    <w:id w:val="-902460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Naj95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(Najib, Dawstashi and Faraj)</w:t>
                    </w:r>
                    <w:r>
                      <w:fldChar w:fldCharType="end"/>
                    </w:r>
                  </w:sdtContent>
                </w:sdt>
              </w:p>
              <w:p w:rsidR="00AB14DF" w:rsidRDefault="00AB14DF" w:rsidP="00424458"/>
              <w:p w:rsidR="00AB14DF" w:rsidRDefault="004E4FBE" w:rsidP="00424458">
                <w:sdt>
                  <w:sdtPr>
                    <w:id w:val="-9923300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Quwnd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(Quwaidy and Dawastashi)</w:t>
                    </w:r>
                    <w:r>
                      <w:fldChar w:fldCharType="end"/>
                    </w:r>
                  </w:sdtContent>
                </w:sdt>
              </w:p>
              <w:p w:rsidR="004E4FBE" w:rsidRDefault="004E4FBE" w:rsidP="00424458"/>
              <w:p w:rsidR="004E4FBE" w:rsidRDefault="004E4FBE" w:rsidP="004E4FBE">
                <w:sdt>
                  <w:sdtPr>
                    <w:id w:val="-2830513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Rét57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(Rétrospective Mohamed Naghi à l’Occasion du Premier Anniversaire de Sa Mort)</w:t>
                    </w:r>
                    <w:r>
                      <w:fldChar w:fldCharType="end"/>
                    </w:r>
                  </w:sdtContent>
                </w:sdt>
              </w:p>
              <w:p w:rsidR="004E4FBE" w:rsidRDefault="004E4FBE" w:rsidP="00424458"/>
              <w:p w:rsidR="004E4FBE" w:rsidRDefault="004E4FBE" w:rsidP="00424458">
                <w:sdt>
                  <w:sdtPr>
                    <w:id w:val="12128486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Yun57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(Yunan)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6065C1" w:rsidP="00424458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C1" w:rsidRDefault="006065C1" w:rsidP="007A0D55">
      <w:pPr>
        <w:spacing w:after="0" w:line="240" w:lineRule="auto"/>
      </w:pPr>
      <w:r>
        <w:separator/>
      </w:r>
    </w:p>
  </w:endnote>
  <w:endnote w:type="continuationSeparator" w:id="0">
    <w:p w:rsidR="006065C1" w:rsidRDefault="006065C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C1" w:rsidRDefault="006065C1" w:rsidP="007A0D55">
      <w:pPr>
        <w:spacing w:after="0" w:line="240" w:lineRule="auto"/>
      </w:pPr>
      <w:r>
        <w:separator/>
      </w:r>
    </w:p>
  </w:footnote>
  <w:footnote w:type="continuationSeparator" w:id="0">
    <w:p w:rsidR="006065C1" w:rsidRDefault="006065C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3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2D3B"/>
    <w:rsid w:val="00424458"/>
    <w:rsid w:val="00462DBE"/>
    <w:rsid w:val="00464699"/>
    <w:rsid w:val="00483379"/>
    <w:rsid w:val="00487BC5"/>
    <w:rsid w:val="00496888"/>
    <w:rsid w:val="004A7476"/>
    <w:rsid w:val="004E4FBE"/>
    <w:rsid w:val="004E5896"/>
    <w:rsid w:val="004F4A33"/>
    <w:rsid w:val="00513EE6"/>
    <w:rsid w:val="00534F8F"/>
    <w:rsid w:val="00590035"/>
    <w:rsid w:val="005B177E"/>
    <w:rsid w:val="005B3921"/>
    <w:rsid w:val="005F26D7"/>
    <w:rsid w:val="005F5450"/>
    <w:rsid w:val="006065C1"/>
    <w:rsid w:val="006B715A"/>
    <w:rsid w:val="006D0412"/>
    <w:rsid w:val="007411B9"/>
    <w:rsid w:val="00747100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4F30"/>
    <w:rsid w:val="009A7264"/>
    <w:rsid w:val="009D1606"/>
    <w:rsid w:val="009E18A1"/>
    <w:rsid w:val="009E73D7"/>
    <w:rsid w:val="00A27D2C"/>
    <w:rsid w:val="00A76FD9"/>
    <w:rsid w:val="00AB14D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F4A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A4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F4A3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A19BF0A19E447FB8B2F7918F11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48544-0166-467A-A927-926783544CEB}"/>
      </w:docPartPr>
      <w:docPartBody>
        <w:p w:rsidR="00000000" w:rsidRDefault="00526009">
          <w:pPr>
            <w:pStyle w:val="E0A19BF0A19E447FB8B2F7918F11E61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C70BEAB73FC436EB843CBC19AC3A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97CC-BE96-471E-8DB0-9937296B4F31}"/>
      </w:docPartPr>
      <w:docPartBody>
        <w:p w:rsidR="00000000" w:rsidRDefault="00526009">
          <w:pPr>
            <w:pStyle w:val="4C70BEAB73FC436EB843CBC19AC3A3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FDD5162BF404DD89F63903BFA48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DD425-0BCF-4957-A8B9-2C31F356BEB6}"/>
      </w:docPartPr>
      <w:docPartBody>
        <w:p w:rsidR="00000000" w:rsidRDefault="00526009">
          <w:pPr>
            <w:pStyle w:val="CFDD5162BF404DD89F63903BFA486B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519100FF0243F0BDE6BB37FE66D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DC64E-047B-460E-BA44-C38D252BA200}"/>
      </w:docPartPr>
      <w:docPartBody>
        <w:p w:rsidR="00000000" w:rsidRDefault="00526009">
          <w:pPr>
            <w:pStyle w:val="16519100FF0243F0BDE6BB37FE66DD7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F6E05D843594434815F054EE8F53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707F-315E-4CF1-80C1-95CE05264F8D}"/>
      </w:docPartPr>
      <w:docPartBody>
        <w:p w:rsidR="00000000" w:rsidRDefault="00526009">
          <w:pPr>
            <w:pStyle w:val="2F6E05D843594434815F054EE8F5334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0F2B977B9164C27BAA33DFE6E2D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D9BCF-84B3-4291-B74B-B39F2B04A668}"/>
      </w:docPartPr>
      <w:docPartBody>
        <w:p w:rsidR="00000000" w:rsidRDefault="00526009">
          <w:pPr>
            <w:pStyle w:val="A0F2B977B9164C27BAA33DFE6E2D5F8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AB26A8F0D449AE840D2B11A023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A40E1-3F1A-487F-94C6-1635BAB06836}"/>
      </w:docPartPr>
      <w:docPartBody>
        <w:p w:rsidR="00000000" w:rsidRDefault="00526009">
          <w:pPr>
            <w:pStyle w:val="88AB26A8F0D449AE840D2B11A023D6E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A2DD6F26A7A4B87BF0A1D8B58290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C65F4-CE6D-49F6-AD1C-ECFE4D801330}"/>
      </w:docPartPr>
      <w:docPartBody>
        <w:p w:rsidR="00000000" w:rsidRDefault="00526009">
          <w:pPr>
            <w:pStyle w:val="CA2DD6F26A7A4B87BF0A1D8B582903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5C7B70A36043F98D7787857E765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5920C-7E82-4D42-97A1-3C3CD5021A73}"/>
      </w:docPartPr>
      <w:docPartBody>
        <w:p w:rsidR="00000000" w:rsidRDefault="00526009">
          <w:pPr>
            <w:pStyle w:val="DB5C7B70A36043F98D7787857E7657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5D177258234AF892B1DF0165C35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DE3D7-7C13-497E-B3B8-952D5A0F74F7}"/>
      </w:docPartPr>
      <w:docPartBody>
        <w:p w:rsidR="00000000" w:rsidRDefault="00526009">
          <w:pPr>
            <w:pStyle w:val="B65D177258234AF892B1DF0165C350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308F7CEB614F0EBE1F667723B2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D9529-8D21-46CC-9AC3-F31B7C139109}"/>
      </w:docPartPr>
      <w:docPartBody>
        <w:p w:rsidR="00000000" w:rsidRDefault="00526009">
          <w:pPr>
            <w:pStyle w:val="84308F7CEB614F0EBE1F667723B201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09"/>
    <w:rsid w:val="0052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A19BF0A19E447FB8B2F7918F11E61B">
    <w:name w:val="E0A19BF0A19E447FB8B2F7918F11E61B"/>
  </w:style>
  <w:style w:type="paragraph" w:customStyle="1" w:styleId="4C70BEAB73FC436EB843CBC19AC3A353">
    <w:name w:val="4C70BEAB73FC436EB843CBC19AC3A353"/>
  </w:style>
  <w:style w:type="paragraph" w:customStyle="1" w:styleId="CFDD5162BF404DD89F63903BFA486B5D">
    <w:name w:val="CFDD5162BF404DD89F63903BFA486B5D"/>
  </w:style>
  <w:style w:type="paragraph" w:customStyle="1" w:styleId="16519100FF0243F0BDE6BB37FE66DD7B">
    <w:name w:val="16519100FF0243F0BDE6BB37FE66DD7B"/>
  </w:style>
  <w:style w:type="paragraph" w:customStyle="1" w:styleId="2F6E05D843594434815F054EE8F53340">
    <w:name w:val="2F6E05D843594434815F054EE8F53340"/>
  </w:style>
  <w:style w:type="paragraph" w:customStyle="1" w:styleId="A0F2B977B9164C27BAA33DFE6E2D5F82">
    <w:name w:val="A0F2B977B9164C27BAA33DFE6E2D5F82"/>
  </w:style>
  <w:style w:type="paragraph" w:customStyle="1" w:styleId="88AB26A8F0D449AE840D2B11A023D6EF">
    <w:name w:val="88AB26A8F0D449AE840D2B11A023D6EF"/>
  </w:style>
  <w:style w:type="paragraph" w:customStyle="1" w:styleId="CA2DD6F26A7A4B87BF0A1D8B58290389">
    <w:name w:val="CA2DD6F26A7A4B87BF0A1D8B58290389"/>
  </w:style>
  <w:style w:type="paragraph" w:customStyle="1" w:styleId="DB5C7B70A36043F98D7787857E7657AF">
    <w:name w:val="DB5C7B70A36043F98D7787857E7657AF"/>
  </w:style>
  <w:style w:type="paragraph" w:customStyle="1" w:styleId="B65D177258234AF892B1DF0165C350E2">
    <w:name w:val="B65D177258234AF892B1DF0165C350E2"/>
  </w:style>
  <w:style w:type="paragraph" w:customStyle="1" w:styleId="84308F7CEB614F0EBE1F667723B2014D">
    <w:name w:val="84308F7CEB614F0EBE1F667723B201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A19BF0A19E447FB8B2F7918F11E61B">
    <w:name w:val="E0A19BF0A19E447FB8B2F7918F11E61B"/>
  </w:style>
  <w:style w:type="paragraph" w:customStyle="1" w:styleId="4C70BEAB73FC436EB843CBC19AC3A353">
    <w:name w:val="4C70BEAB73FC436EB843CBC19AC3A353"/>
  </w:style>
  <w:style w:type="paragraph" w:customStyle="1" w:styleId="CFDD5162BF404DD89F63903BFA486B5D">
    <w:name w:val="CFDD5162BF404DD89F63903BFA486B5D"/>
  </w:style>
  <w:style w:type="paragraph" w:customStyle="1" w:styleId="16519100FF0243F0BDE6BB37FE66DD7B">
    <w:name w:val="16519100FF0243F0BDE6BB37FE66DD7B"/>
  </w:style>
  <w:style w:type="paragraph" w:customStyle="1" w:styleId="2F6E05D843594434815F054EE8F53340">
    <w:name w:val="2F6E05D843594434815F054EE8F53340"/>
  </w:style>
  <w:style w:type="paragraph" w:customStyle="1" w:styleId="A0F2B977B9164C27BAA33DFE6E2D5F82">
    <w:name w:val="A0F2B977B9164C27BAA33DFE6E2D5F82"/>
  </w:style>
  <w:style w:type="paragraph" w:customStyle="1" w:styleId="88AB26A8F0D449AE840D2B11A023D6EF">
    <w:name w:val="88AB26A8F0D449AE840D2B11A023D6EF"/>
  </w:style>
  <w:style w:type="paragraph" w:customStyle="1" w:styleId="CA2DD6F26A7A4B87BF0A1D8B58290389">
    <w:name w:val="CA2DD6F26A7A4B87BF0A1D8B58290389"/>
  </w:style>
  <w:style w:type="paragraph" w:customStyle="1" w:styleId="DB5C7B70A36043F98D7787857E7657AF">
    <w:name w:val="DB5C7B70A36043F98D7787857E7657AF"/>
  </w:style>
  <w:style w:type="paragraph" w:customStyle="1" w:styleId="B65D177258234AF892B1DF0165C350E2">
    <w:name w:val="B65D177258234AF892B1DF0165C350E2"/>
  </w:style>
  <w:style w:type="paragraph" w:customStyle="1" w:styleId="84308F7CEB614F0EBE1F667723B2014D">
    <w:name w:val="84308F7CEB614F0EBE1F667723B20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Aza78</b:Tag>
    <b:SourceType>Book</b:SourceType>
    <b:Guid>{2E987F4A-81D7-4DD4-B5EA-F1BF4DA68C96}</b:Guid>
    <b:Author>
      <b:Author>
        <b:NameList>
          <b:Person>
            <b:Last>Azar</b:Last>
            <b:First>Aimé</b:First>
          </b:Person>
        </b:NameList>
      </b:Author>
    </b:Author>
    <b:Title>André Lhote en Égypte: Étude Critique Comprenant des Extraits de la Correspondance Inédite du Peintre avec Mohammed et Effat Nagh</b:Title>
    <b:Year>1978</b:Year>
    <b:City>Cairo</b:City>
    <b:Publisher>Centre Culturel Française</b:Publisher>
    <b:RefOrder>2</b:RefOrder>
  </b:Source>
  <b:Source>
    <b:Tag>Far89</b:Tag>
    <b:SourceType>Book</b:SourceType>
    <b:Guid>{D4DB2ED8-9188-4450-9D59-80CCC84853B4}</b:Guid>
    <b:Title> Muhammad Naji, al-Thikra al-Mi’awiyya li-l-Fannan Muhammad Naji (1888-1956)</b:Title>
    <b:Year>1989</b:Year>
    <b:City>Cairo</b:City>
    <b:Publisher>Wizarat al-Thaqafa al-Markaz al-Qawmi li-l-Funnun al-Tashkiliya</b:Publisher>
    <b:Author>
      <b:Editor>
        <b:NameList>
          <b:Person>
            <b:Last>Faraj</b:Last>
            <b:First>Nabil</b:First>
          </b:Person>
        </b:NameList>
      </b:Editor>
    </b:Author>
    <b:RefOrder>3</b:RefOrder>
  </b:Source>
  <b:Source>
    <b:Tag>Hus57</b:Tag>
    <b:SourceType>Book</b:SourceType>
    <b:Guid>{C8AC558A-9EF6-4587-8929-8FD589CAA241}</b:Guid>
    <b:Author>
      <b:Author>
        <b:NameList>
          <b:Person>
            <b:Last>Husayn</b:Last>
            <b:First>Kamal</b:First>
            <b:Middle>al-Din, et al.</b:Middle>
          </b:Person>
        </b:NameList>
      </b:Author>
    </b:Author>
    <b:Title>Ma‘arad A‘amal al-Musawwir Muhammad Naji bi-Munasabat al-Dhikra al-Ula li-Wafatihi</b:Title>
    <b:Year>1957</b:Year>
    <b:City>Cairo</b:City>
    <b:Publisher>al-Majlis al-A‘la li-Ri‘ayat al-Funun wa-l-Adab, in association with Societé Orientale de Publicité</b:Publisher>
    <b:Medium>Exh. cat.</b:Medium>
    <b:RefOrder>4</b:RefOrder>
  </b:Source>
  <b:Source>
    <b:Tag>Kan12</b:Tag>
    <b:SourceType>Book</b:SourceType>
    <b:Guid>{BF528967-C8E5-4183-8711-278C3827A731}</b:Guid>
    <b:Author>
      <b:Author>
        <b:NameList>
          <b:Person>
            <b:Last>Kane</b:Last>
            <b:First>Patrick</b:First>
          </b:Person>
        </b:NameList>
      </b:Author>
    </b:Author>
    <b:Title>The Politics of Art in Modern Egypt: Aesthetics, Ideology and Nation-Building</b:Title>
    <b:Year>2012</b:Year>
    <b:City>London</b:City>
    <b:Publisher>I.B. Taurus</b:Publisher>
    <b:RefOrder>5</b:RefOrder>
  </b:Source>
  <b:Source>
    <b:Tag>alK93</b:Tag>
    <b:SourceType>Book</b:SourceType>
    <b:Guid>{B3789375-8AFB-4719-AD6C-6D35BEFB887C}</b:Guid>
    <b:Author>
      <b:Author>
        <b:NameList>
          <b:Person>
            <b:Last>al-Khadim</b:Last>
            <b:First>Sa‘ad</b:First>
          </b:Person>
        </b:NameList>
      </b:Author>
    </b:Author>
    <b:Title>al-Hayah al-Shaʻabiya fi-Rusum Naji</b:Title>
    <b:Year>1993</b:Year>
    <b:City>Cairo</b:City>
    <b:Publisher>al-Hayʼa al-Misriyya al-ʻAmma li-l-Kitab</b:Publisher>
    <b:RefOrder>1</b:RefOrder>
  </b:Source>
  <b:Source>
    <b:Tag>Rét57</b:Tag>
    <b:SourceType>Book</b:SourceType>
    <b:Guid>{91BD4E57-3C36-457A-96AB-ADB7350A52C1}</b:Guid>
    <b:Title>Rétrospective Mohamed Naghi à l’Occasion du Premier Anniversaire de Sa Mort</b:Title>
    <b:Year>1957</b:Year>
    <b:City>Cairo</b:City>
    <b:Publisher>Societé Orientale de Publicité</b:Publisher>
    <b:Medium>Exh. Cat.</b:Medium>
    <b:RefOrder>12</b:RefOrder>
  </b:Source>
  <b:Source>
    <b:Tag>Mil12</b:Tag>
    <b:SourceType>Misc</b:SourceType>
    <b:Guid>{30EA64DD-8DC4-4487-AD5C-CE9305295EE6}</b:Guid>
    <b:Author>
      <b:Author>
        <b:NameList>
          <b:Person>
            <b:Last>Miller</b:Last>
            <b:First>Elizabeth</b:First>
          </b:Person>
        </b:NameList>
      </b:Author>
    </b:Author>
    <b:Title>Nationalism and the Birth of Modern Art in Egypt.</b:Title>
    <b:Year>2012</b:Year>
    <b:Publisher>Oxford University</b:Publisher>
    <b:Medium>PhD diss.</b:Medium>
    <b:RefOrder>7</b:RefOrder>
  </b:Source>
  <b:Source>
    <b:Tag>Naj59</b:Tag>
    <b:SourceType>Book</b:SourceType>
    <b:Guid>{D1E2CDAA-8449-4B0B-A994-5BD89E9E0020}</b:Guid>
    <b:Author>
      <b:Author>
        <b:NameList>
          <b:Person>
            <b:Last>Naji</b:Last>
            <b:First>'Iffat,</b:First>
            <b:Middle>et al.</b:Middle>
          </b:Person>
        </b:NameList>
      </b:Author>
    </b:Author>
    <b:Title>al-Ma‘arad al-Shamil li-A‘amal al-Fannan Muhammad Naji bi-l-Habasha</b:Title>
    <b:Year>1959</b:Year>
    <b:City>Cairo</b:City>
    <b:Publisher>Wizarat al-Thiqafa wa-l-Irshad al-Qawmi, in association with Imprimerie Mondiale</b:Publisher>
    <b:RefOrder>8</b:RefOrder>
  </b:Source>
  <b:Source>
    <b:Tag>Naj</b:Tag>
    <b:SourceType>Book</b:SourceType>
    <b:Guid>{32618B68-6772-4CDB-A054-1206006AD666}</b:Guid>
    <b:Author>
      <b:Editor>
        <b:NameList>
          <b:Person>
            <b:Last>Naji</b:Last>
            <b:First>‘Iffat</b:First>
          </b:Person>
          <b:Person>
            <b:Last>Roussillon</b:Last>
            <b:First>Christine</b:First>
          </b:Person>
          <b:Person>
            <b:Last>Roussillon</b:Last>
            <b:First>Alain</b:First>
          </b:Person>
          <b:Person>
            <b:Last>al.</b:Last>
            <b:First>et</b:First>
          </b:Person>
        </b:NameList>
      </b:Editor>
      <b:Translator>
        <b:NameList>
          <b:Person>
            <b:Last>Azza Abou Al-Nadar</b:Last>
            <b:First>Nachoua</b:First>
            <b:Middle>Al-Azhari, Anhar Kourra, et al.</b:Middle>
          </b:Person>
        </b:NameList>
      </b:Translator>
    </b:Author>
    <b:Title>Mohamed Naghi: Un Impressionniste Égyptien</b:Title>
    <b:City>Cairo</b:City>
    <b:Publisher>Les Cahiers de Chabramant, with the help of the Mission of research and cooperation of the Embassy of France in Cairo </b:Publisher>
    <b:RefOrder>9</b:RefOrder>
  </b:Source>
  <b:Source>
    <b:Tag>Naj95</b:Tag>
    <b:SourceType>Book</b:SourceType>
    <b:Guid>{21CC3E59-7D80-4644-A754-1B6731AF4D2C}</b:Guid>
    <b:Title>Muhammad Naji: 1888-1956</b:Title>
    <b:Year>1995</b:Year>
    <b:City>Cairo</b:City>
    <b:Publisher>Wizarat al-Thaqafa, in association with Mathaf Naji</b:Publisher>
    <b:Author>
      <b:Editor>
        <b:NameList>
          <b:Person>
            <b:Last>Najib</b:Last>
            <b:First>‘Izz al-Din</b:First>
          </b:Person>
          <b:Person>
            <b:Last>Dawstashi</b:Last>
            <b:First>‘Ismat</b:First>
          </b:Person>
          <b:Person>
            <b:Last>Faraj</b:Last>
            <b:First>Nabil</b:First>
          </b:Person>
        </b:NameList>
      </b:Editor>
    </b:Author>
    <b:RefOrder>10</b:RefOrder>
  </b:Source>
  <b:Source>
    <b:Tag>Quwnd</b:Tag>
    <b:SourceType>Book</b:SourceType>
    <b:Guid>{9F2FB561-94EE-4CAC-8118-ADFCDCD8F180}</b:Guid>
    <b:Author>
      <b:Author>
        <b:NameList>
          <b:Person>
            <b:Last>Quwaidy</b:Last>
            <b:First>Yusry</b:First>
          </b:Person>
          <b:Person>
            <b:Last>Dawastashi</b:Last>
            <b:First>‘Ismat</b:First>
          </b:Person>
        </b:NameList>
      </b:Author>
    </b:Author>
    <b:Title>Muhammad Naji fi-l-Habasha: Min Yawmiyat al-Fannan ‘Am 1932</b:Title>
    <b:Year>n.d.</b:Year>
    <b:City>Cairo</b:City>
    <b:Publisher>Sanduq al-Tanmiya al-Thiqafiyya</b:Publisher>
    <b:RefOrder>11</b:RefOrder>
  </b:Source>
  <b:Source>
    <b:Tag>Rad751</b:Tag>
    <b:SourceType>Book</b:SourceType>
    <b:Guid>{85DC69A8-0ACE-449D-BC90-55C5C42619DA}</b:Guid>
    <b:Author>
      <b:Author>
        <b:NameList>
          <b:Person>
            <b:Last>Lackany</b:Last>
            <b:First>Radames</b:First>
          </b:Person>
        </b:NameList>
      </b:Author>
    </b:Author>
    <b:Title>Mohamad Nagui (1888-1956): À l’Occasion du Quarantième Anniversaire de la Fondation de cette Institution (1935-1975)</b:Title>
    <b:Year>1975</b:Year>
    <b:City>Alexandria</b:City>
    <b:RefOrder>6</b:RefOrder>
  </b:Source>
  <b:Source>
    <b:Tag>Yun57</b:Tag>
    <b:SourceType>JournalArticle</b:SourceType>
    <b:Guid>{100484B2-F217-4C1A-984E-8D163F86442C}</b:Guid>
    <b:Author>
      <b:Author>
        <b:NameList>
          <b:Person>
            <b:Last>Yunan</b:Last>
            <b:First>Ramsis</b:First>
          </b:Person>
        </b:NameList>
      </b:Author>
    </b:Author>
    <b:Title>Hawl Fann Naji</b:Title>
    <b:Year>1957</b:Year>
    <b:JournalName>al-Majalla</b:JournalName>
    <b:Month>July</b:Month>
    <b:RefOrder>13</b:RefOrder>
  </b:Source>
</b:Sources>
</file>

<file path=customXml/itemProps1.xml><?xml version="1.0" encoding="utf-8"?>
<ds:datastoreItem xmlns:ds="http://schemas.openxmlformats.org/officeDocument/2006/customXml" ds:itemID="{4D704FC7-EA03-49D5-AD7D-006F058E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2014-09-19T16:51:00Z</dcterms:created>
  <dcterms:modified xsi:type="dcterms:W3CDTF">2014-09-19T18:09:00Z</dcterms:modified>
</cp:coreProperties>
</file>