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192D801761D46AC8A525D5F471B908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335447CE9E5478C9BD8E8703729E564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569CD" w:rsidP="00A569CD">
                <w:r>
                  <w:t>Bibiana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74B2312829345079EABCB83DE9D92E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51B561DFF0487090BB00B3A190E94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569CD" w:rsidP="00A569CD">
                <w:r>
                  <w:t>Obler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BB3D12310EF414885A653174E30D52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44AA077A3A34012BE3BB0C5BBA3198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28CB49EA640947DF855534B8B7C40E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569CD" w:rsidP="00A569CD">
                <w:r w:rsidRPr="005D1424">
                  <w:t>Taeuber, Sophie (1889–1943)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4848AEBA00A48CDB8195BFBB4F483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50622CF2581C4BDD92F64E4FBEE6A8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7F3A8C" w:rsidP="00E85A05">
                <w:r>
                  <w:t xml:space="preserve">Artist </w:t>
                </w:r>
                <w:r w:rsidRPr="003852F4">
                  <w:t xml:space="preserve">Sophie </w:t>
                </w:r>
                <w:r>
                  <w:t xml:space="preserve">Taeuber’s career spanned a variety of movements, </w:t>
                </w:r>
                <w:r w:rsidRPr="003852F4">
                  <w:t>inc</w:t>
                </w:r>
                <w:r>
                  <w:t xml:space="preserve">luding Dada and Constructivism, </w:t>
                </w:r>
                <w:r w:rsidRPr="003852F4">
                  <w:t xml:space="preserve">and media, </w:t>
                </w:r>
                <w:r>
                  <w:t xml:space="preserve">such as </w:t>
                </w:r>
                <w:r w:rsidRPr="003852F4">
                  <w:t xml:space="preserve">textile arts, interior design, architecture, painting, and sculpture. Although </w:t>
                </w:r>
                <w:r>
                  <w:t>based in Switzerland for most of her life</w:t>
                </w:r>
                <w:r w:rsidRPr="003852F4">
                  <w:t>, she was born a German citizen, became Swiss around 1905, and French in 1926.</w:t>
                </w:r>
                <w:r>
                  <w:t xml:space="preserve"> She received a progressive education at </w:t>
                </w:r>
                <w:r w:rsidRPr="003852F4">
                  <w:t>Wilhelm von Debschitz's Teaching and Experimental Studios for Applied and Fine Arts, Munich</w:t>
                </w:r>
                <w:r>
                  <w:t xml:space="preserve"> (1910</w:t>
                </w:r>
                <w:r w:rsidRPr="003852F4">
                  <w:t>–14</w:t>
                </w:r>
                <w:r>
                  <w:t>)</w:t>
                </w:r>
                <w:r w:rsidRPr="003852F4">
                  <w:t>, with a break in 1912–13 to study at the School of Applied Arts, Hamburg.</w:t>
                </w:r>
                <w:r>
                  <w:t xml:space="preserve"> </w:t>
                </w:r>
                <w:r w:rsidRPr="003852F4">
                  <w:t xml:space="preserve">From 1916–29 Taeuber was a professor at the Zurich School of Applied Arts, teaching textile design and weaving. Her turned-wood puppets and set designs for the play </w:t>
                </w:r>
                <w:r w:rsidRPr="003852F4">
                  <w:rPr>
                    <w:i/>
                  </w:rPr>
                  <w:t>King Stag</w:t>
                </w:r>
                <w:r w:rsidRPr="003852F4">
                  <w:t xml:space="preserve"> (1918), commissioned for the Zurich Marionette Theater, </w:t>
                </w:r>
                <w:r>
                  <w:t>garner</w:t>
                </w:r>
                <w:r w:rsidRPr="003852F4">
                  <w:t xml:space="preserve">ed critical acclaim. In addition to establishing a reputation as an innovative applied artist, Taeuber participated in Dada from its inception in 1916, partly as a result of her friendship with Hans Arp, whom she met in 1915, and also through her </w:t>
                </w:r>
                <w:r>
                  <w:t>membership in</w:t>
                </w:r>
                <w:r w:rsidRPr="003852F4">
                  <w:t xml:space="preserve"> Rudolf von Laban's dance troupe, which performed at various Dada events. </w:t>
                </w:r>
                <w:r>
                  <w:t xml:space="preserve">After World War I, Taeuber increasingly turned to interior architecture and fine art, leaving the applied arts almost entirely behind once she moved to Paris in the late 1920s.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975F8D6376D34E55A6BEBE23ED32D0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569CD" w:rsidRDefault="00A569CD" w:rsidP="00A569CD">
                <w:r>
                  <w:t xml:space="preserve">Artist </w:t>
                </w:r>
                <w:r w:rsidRPr="003852F4">
                  <w:t xml:space="preserve">Sophie </w:t>
                </w:r>
                <w:r>
                  <w:t xml:space="preserve">Taeuber’s career spanned a variety of movements, </w:t>
                </w:r>
                <w:r w:rsidRPr="003852F4">
                  <w:t>inc</w:t>
                </w:r>
                <w:r>
                  <w:t xml:space="preserve">luding Dada and Constructivism, </w:t>
                </w:r>
                <w:r w:rsidRPr="003852F4">
                  <w:t xml:space="preserve">and media, </w:t>
                </w:r>
                <w:r>
                  <w:t xml:space="preserve">such as </w:t>
                </w:r>
                <w:r w:rsidRPr="003852F4">
                  <w:t xml:space="preserve">textile arts, interior design, architecture, painting, and sculpture. Although </w:t>
                </w:r>
                <w:r>
                  <w:t>based in Switzerland for most of her life</w:t>
                </w:r>
                <w:r w:rsidRPr="003852F4">
                  <w:t>, she was born a German citizen, became Swiss around 1905, and French in 1926.</w:t>
                </w:r>
                <w:r>
                  <w:t xml:space="preserve"> She received a progressive education at </w:t>
                </w:r>
                <w:r w:rsidRPr="003852F4">
                  <w:t>Wilhelm von Debschitz's Teaching and Experimental Studios for Applied and Fine Arts, Munich</w:t>
                </w:r>
                <w:r>
                  <w:t xml:space="preserve"> (1910</w:t>
                </w:r>
                <w:r w:rsidRPr="003852F4">
                  <w:t>–14</w:t>
                </w:r>
                <w:r>
                  <w:t>)</w:t>
                </w:r>
                <w:r w:rsidRPr="003852F4">
                  <w:t>, with a break in 1912–13 to study at the School of Applied Arts, Hamburg.</w:t>
                </w:r>
                <w:r>
                  <w:t xml:space="preserve"> </w:t>
                </w:r>
                <w:r w:rsidRPr="003852F4">
                  <w:t xml:space="preserve">From 1916–29 Taeuber was a professor at the Zurich School of Applied Arts, teaching textile design and weaving. Her turned-wood puppets and set designs for the play </w:t>
                </w:r>
                <w:r w:rsidRPr="003852F4">
                  <w:rPr>
                    <w:i/>
                  </w:rPr>
                  <w:t>King Stag</w:t>
                </w:r>
                <w:r w:rsidRPr="003852F4">
                  <w:t xml:space="preserve"> (1918), commissioned for the Zurich Marionette Theater, </w:t>
                </w:r>
                <w:r>
                  <w:t>garner</w:t>
                </w:r>
                <w:r w:rsidRPr="003852F4">
                  <w:t xml:space="preserve">ed critical acclaim. In addition to establishing a reputation as an innovative applied artist, Taeuber participated in Dada from its inception in 1916, partly as a result of her friendship with Hans Arp, whom she met in 1915, and also through her </w:t>
                </w:r>
                <w:r>
                  <w:t>membership in</w:t>
                </w:r>
                <w:r w:rsidRPr="003852F4">
                  <w:t xml:space="preserve"> Rudolf von Laban's dance troupe, which performed at various Dada events. </w:t>
                </w:r>
                <w:r>
                  <w:t xml:space="preserve">After World War I, Taeuber increasingly turned to interior architecture and fine art, leaving the applied arts almost entirely behind once she moved to Paris in the late 1920s. </w:t>
                </w:r>
              </w:p>
              <w:p w:rsidR="00A569CD" w:rsidRDefault="00A569CD" w:rsidP="00A569CD"/>
              <w:p w:rsidR="00A569CD" w:rsidRDefault="00A569CD" w:rsidP="00A569CD">
                <w:r>
                  <w:t xml:space="preserve">Taeuber, although not deemed a founding Dadaist by Dada's founders, was an active participant, contributing </w:t>
                </w:r>
                <w:r w:rsidRPr="003852F4">
                  <w:t>her choreography, her si</w:t>
                </w:r>
                <w:r>
                  <w:t>gnature on the Dada Manifesto of</w:t>
                </w:r>
                <w:r w:rsidRPr="003852F4">
                  <w:t xml:space="preserve"> 1918, and </w:t>
                </w:r>
                <w:r w:rsidRPr="00EF12B7">
                  <w:t xml:space="preserve">one of her turned-wood sculptural heads to the Dada journal </w:t>
                </w:r>
                <w:r w:rsidRPr="00EF12B7">
                  <w:rPr>
                    <w:i/>
                  </w:rPr>
                  <w:t>Der Zeltweg</w:t>
                </w:r>
                <w:r w:rsidRPr="00EF12B7">
                  <w:t xml:space="preserve"> (1919).</w:t>
                </w:r>
                <w:r w:rsidRPr="003852F4">
                  <w:t xml:space="preserve"> During these years, she </w:t>
                </w:r>
                <w:r>
                  <w:t xml:space="preserve">and Arp </w:t>
                </w:r>
                <w:r w:rsidRPr="003852F4">
                  <w:t xml:space="preserve">collaborated on abstract vertical-horizontal compositions in collage and embroidery; although impossible to date with certainty, these compositions—and Taeuber’s own abstract </w:t>
                </w:r>
                <w:r w:rsidRPr="003852F4">
                  <w:lastRenderedPageBreak/>
                  <w:t xml:space="preserve">paintings and textiles—were among the earliest purely abstract works produced by European avant-gardes. </w:t>
                </w:r>
              </w:p>
              <w:p w:rsidR="00A569CD" w:rsidRPr="003852F4" w:rsidRDefault="00A569CD" w:rsidP="00A569CD"/>
              <w:p w:rsidR="00A569CD" w:rsidRDefault="00A569CD" w:rsidP="00A569CD">
                <w:r w:rsidRPr="003852F4">
                  <w:t xml:space="preserve">In the 1920s, </w:t>
                </w:r>
                <w:r>
                  <w:t>Taeuber developed an international reputation and worked increasingly as a designer. Her tapestries</w:t>
                </w:r>
                <w:r w:rsidRPr="003852F4">
                  <w:t xml:space="preserve"> were featured in exhibitions across Europe and, in 1925, at the International Exhibition of Modern Tapestries, Toledo, USA. </w:t>
                </w:r>
                <w:r>
                  <w:t xml:space="preserve">She completed various architectural and interior design projects, including </w:t>
                </w:r>
                <w:r w:rsidRPr="003852F4">
                  <w:t>a redesign of the Aubette, an entertainment complex</w:t>
                </w:r>
                <w:r>
                  <w:t xml:space="preserve"> in Strasbourg</w:t>
                </w:r>
                <w:r w:rsidRPr="003852F4">
                  <w:t xml:space="preserve">, which she invited Arp and Theo van Doesburg to join her in executing (1926–28). The couple could now afford a house in Clamart, near Paris, which was built and furnished according to Taeuber's plans (1927–28). </w:t>
                </w:r>
              </w:p>
              <w:p w:rsidR="00A569CD" w:rsidRPr="003852F4" w:rsidRDefault="00A569CD" w:rsidP="00A569CD"/>
              <w:p w:rsidR="00A569CD" w:rsidRDefault="00A569CD" w:rsidP="00A569CD">
                <w:pPr>
                  <w:rPr>
                    <w:rFonts w:eastAsia="Times New Roman"/>
                    <w:szCs w:val="20"/>
                  </w:rPr>
                </w:pPr>
                <w:r w:rsidRPr="003852F4">
                  <w:t xml:space="preserve">In the 1930s, </w:t>
                </w:r>
                <w:r>
                  <w:t xml:space="preserve">in Paris, </w:t>
                </w:r>
                <w:r w:rsidRPr="003852F4">
                  <w:t xml:space="preserve">Taeuber shifted her energies towards the fine arts, creating carefully balanced compositions of lines and geometric forms in gouache, oil, relief, and collage. She joined the short-lived group Cercle et Carré (1930–31) and then Abstraction-Création, leaving that group in 1934 in disagreement with its dogmatic rejection of all figuration. From 1937–39 Taeuber edited </w:t>
                </w:r>
                <w:r w:rsidRPr="005123FA">
                  <w:rPr>
                    <w:i/>
                  </w:rPr>
                  <w:t>Plastique</w:t>
                </w:r>
                <w:r>
                  <w:rPr>
                    <w:i/>
                  </w:rPr>
                  <w:t xml:space="preserve">, </w:t>
                </w:r>
                <w:r w:rsidRPr="00A81E3F">
                  <w:t xml:space="preserve">a </w:t>
                </w:r>
                <w:r w:rsidRPr="003852F4">
                  <w:t xml:space="preserve">trilingual journal </w:t>
                </w:r>
                <w:r>
                  <w:t>concerned with Concrete Art</w:t>
                </w:r>
                <w:r w:rsidRPr="003852F4">
                  <w:rPr>
                    <w:i/>
                  </w:rPr>
                  <w:t xml:space="preserve">. </w:t>
                </w:r>
                <w:r w:rsidRPr="003852F4">
                  <w:t xml:space="preserve">She continued to have strong ties with Switzerland, joining the Swiss artists' group </w:t>
                </w:r>
                <w:r w:rsidRPr="003852F4">
                  <w:rPr>
                    <w:i/>
                  </w:rPr>
                  <w:t>Allianz</w:t>
                </w:r>
                <w:r w:rsidRPr="003852F4">
                  <w:t xml:space="preserve"> in 1937. She worked closely with her husband on </w:t>
                </w:r>
                <w:r>
                  <w:t>assorted</w:t>
                </w:r>
                <w:r w:rsidRPr="003852F4">
                  <w:t xml:space="preserve"> projects, such a</w:t>
                </w:r>
                <w:r>
                  <w:t xml:space="preserve">s the </w:t>
                </w:r>
                <w:r w:rsidRPr="00670284">
                  <w:rPr>
                    <w:i/>
                  </w:rPr>
                  <w:t>Conjugal Sculpture</w:t>
                </w:r>
                <w:r>
                  <w:t xml:space="preserve"> (1937) and</w:t>
                </w:r>
                <w:r w:rsidRPr="003852F4">
                  <w:t xml:space="preserve"> her drawings for his poetry collection </w:t>
                </w:r>
                <w:r w:rsidRPr="003852F4">
                  <w:rPr>
                    <w:i/>
                  </w:rPr>
                  <w:t>Shells and Umbrellas</w:t>
                </w:r>
                <w:r>
                  <w:t xml:space="preserve"> (1938)</w:t>
                </w:r>
                <w:r w:rsidRPr="003852F4">
                  <w:t>.</w:t>
                </w:r>
              </w:p>
              <w:p w:rsidR="00A569CD" w:rsidRDefault="00A569CD" w:rsidP="00A569CD">
                <w:pPr>
                  <w:rPr>
                    <w:rFonts w:eastAsia="Times New Roman"/>
                    <w:szCs w:val="20"/>
                  </w:rPr>
                </w:pPr>
              </w:p>
              <w:p w:rsidR="00A569CD" w:rsidRDefault="00A569CD" w:rsidP="00A569CD">
                <w:pPr>
                  <w:keepNext/>
                </w:pPr>
                <w:r>
                  <w:rPr>
                    <w:rFonts w:eastAsia="Times New Roman"/>
                    <w:szCs w:val="20"/>
                  </w:rPr>
                  <w:t>File: taeuber1.jpg</w:t>
                </w:r>
              </w:p>
              <w:p w:rsidR="00A569CD" w:rsidRPr="00BA231A" w:rsidRDefault="00A569CD" w:rsidP="00BA231A">
                <w:pPr>
                  <w:pStyle w:val="Caption"/>
                  <w:rPr>
                    <w:rFonts w:eastAsia="Times New Roman"/>
                    <w:szCs w:val="20"/>
                  </w:rPr>
                </w:pPr>
                <w:r>
                  <w:rPr>
                    <w:rFonts w:eastAsia="Times New Roman"/>
                    <w:szCs w:val="20"/>
                  </w:rPr>
                  <w:fldChar w:fldCharType="begin"/>
                </w:r>
                <w:r>
                  <w:rPr>
                    <w:rFonts w:eastAsia="Times New Roman"/>
                    <w:szCs w:val="20"/>
                  </w:rPr>
                  <w:instrText xml:space="preserve"> SEQ Figure \* ARABIC </w:instrText>
                </w:r>
                <w:r>
                  <w:rPr>
                    <w:rFonts w:eastAsia="Times New Roman"/>
                    <w:szCs w:val="20"/>
                  </w:rPr>
                  <w:fldChar w:fldCharType="separate"/>
                </w:r>
                <w:r>
                  <w:rPr>
                    <w:rFonts w:eastAsia="Times New Roman"/>
                    <w:noProof/>
                    <w:szCs w:val="20"/>
                  </w:rPr>
                  <w:t>1</w:t>
                </w:r>
                <w:r>
                  <w:rPr>
                    <w:rFonts w:eastAsia="Times New Roman"/>
                    <w:szCs w:val="20"/>
                  </w:rPr>
                  <w:fldChar w:fldCharType="end"/>
                </w:r>
                <w:r>
                  <w:t xml:space="preserve"> </w:t>
                </w:r>
                <w:r w:rsidRPr="003D771B">
                  <w:t>Sophie Taeuber-Arp, Composition of Circles and Semicircles, 1935, gouache on paper. 10 x 13 ½ in. National Museum of Women in the Arts, Washington, DC. Gift of Wallace and Wilhelmina Holladay; © 2012 Artists Rights Society (ARS), New York / VISCOPY, Aus</w:t>
                </w:r>
                <w:r w:rsidR="00FF2394">
                  <w:t xml:space="preserve">tralia </w:t>
                </w:r>
                <w:r w:rsidR="00FF2394" w:rsidRPr="00FF2394">
                  <w:rPr>
                    <w:rFonts w:eastAsia="Times New Roman"/>
                    <w:szCs w:val="20"/>
                  </w:rPr>
                  <w:t>http://www.nmwa.org/works/composition-circles-and-semicircles</w:t>
                </w:r>
              </w:p>
              <w:p w:rsidR="003F0D73" w:rsidRDefault="00A569CD" w:rsidP="00A569CD">
                <w:r w:rsidRPr="003852F4">
                  <w:t>Taeuber and Arp escaped Paris before the Germans arrived in 1939, seeking refuge in the south of France. In Grasse, they collaborated with Alberto Magnelli and Sonia Dela</w:t>
                </w:r>
                <w:r>
                  <w:t>unay on a suite of lithographs</w:t>
                </w:r>
                <w:r w:rsidRPr="003852F4">
                  <w:t xml:space="preserve">. </w:t>
                </w:r>
                <w:r>
                  <w:t>They</w:t>
                </w:r>
                <w:r w:rsidRPr="003852F4">
                  <w:t xml:space="preserve"> returned to Switzerland in 1942</w:t>
                </w:r>
                <w:r>
                  <w:t>,</w:t>
                </w:r>
                <w:r w:rsidRPr="003852F4">
                  <w:t xml:space="preserve"> where Taeuber died in January 1943 of carbon monoxide poisoning from a coal-burning stove.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C5FE8A8857E444DB3D8795805EC17D9"/>
              </w:placeholder>
            </w:sdtPr>
            <w:sdtEndPr/>
            <w:sdtContent>
              <w:p w:rsidR="00BA231A" w:rsidRDefault="00BA231A" w:rsidP="00BA231A"/>
              <w:p w:rsidR="00BA231A" w:rsidRDefault="00CD151F" w:rsidP="00BA231A">
                <w:sdt>
                  <w:sdtPr>
                    <w:id w:val="-115909599"/>
                    <w:citation/>
                  </w:sdtPr>
                  <w:sdtEndPr/>
                  <w:sdtContent>
                    <w:r w:rsidR="00BA231A">
                      <w:fldChar w:fldCharType="begin"/>
                    </w:r>
                    <w:r w:rsidR="00BA231A">
                      <w:rPr>
                        <w:lang w:val="en-US"/>
                      </w:rPr>
                      <w:instrText xml:space="preserve"> CITATION Aar10 \l 1033 </w:instrText>
                    </w:r>
                    <w:r w:rsidR="00BA231A">
                      <w:fldChar w:fldCharType="separate"/>
                    </w:r>
                    <w:r w:rsidR="00BA231A">
                      <w:rPr>
                        <w:noProof/>
                        <w:lang w:val="en-US"/>
                      </w:rPr>
                      <w:t>(Kunsthaus)</w:t>
                    </w:r>
                    <w:r w:rsidR="00BA231A">
                      <w:fldChar w:fldCharType="end"/>
                    </w:r>
                  </w:sdtContent>
                </w:sdt>
              </w:p>
              <w:p w:rsidR="00BA231A" w:rsidRDefault="00BA231A" w:rsidP="00BA231A"/>
              <w:p w:rsidR="00BA231A" w:rsidRDefault="00CD151F" w:rsidP="00BA231A">
                <w:sdt>
                  <w:sdtPr>
                    <w:id w:val="-213575884"/>
                    <w:citation/>
                  </w:sdtPr>
                  <w:sdtEndPr/>
                  <w:sdtContent>
                    <w:r w:rsidR="00BA231A">
                      <w:fldChar w:fldCharType="begin"/>
                    </w:r>
                    <w:r w:rsidR="00BA231A">
                      <w:rPr>
                        <w:lang w:val="en-US"/>
                      </w:rPr>
                      <w:instrText xml:space="preserve"> CITATION Arp27 \l 1033 </w:instrText>
                    </w:r>
                    <w:r w:rsidR="00BA231A">
                      <w:fldChar w:fldCharType="separate"/>
                    </w:r>
                    <w:r w:rsidR="00BA231A">
                      <w:rPr>
                        <w:noProof/>
                        <w:lang w:val="en-US"/>
                      </w:rPr>
                      <w:t>(Arp-Taeuber and Gauchat)</w:t>
                    </w:r>
                    <w:r w:rsidR="00BA231A">
                      <w:fldChar w:fldCharType="end"/>
                    </w:r>
                  </w:sdtContent>
                </w:sdt>
              </w:p>
              <w:p w:rsidR="00BA231A" w:rsidRDefault="00BA231A" w:rsidP="00BA231A"/>
              <w:p w:rsidR="00BA231A" w:rsidRDefault="00CD151F" w:rsidP="00BA231A">
                <w:sdt>
                  <w:sdtPr>
                    <w:id w:val="-224687362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Kut88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(Kuthy)</w:t>
                    </w:r>
                    <w:r w:rsidR="00BD243A"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CD151F" w:rsidP="00BA231A">
                <w:sdt>
                  <w:sdtPr>
                    <w:id w:val="708847342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Sop89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(Taeuber)</w:t>
                    </w:r>
                    <w:r w:rsidR="00BD243A"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CD151F" w:rsidP="00BA231A">
                <w:sdt>
                  <w:sdtPr>
                    <w:id w:val="74412435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Obl141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(Obler)</w:t>
                    </w:r>
                    <w:r w:rsidR="00BD243A"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CD151F" w:rsidP="00BA231A">
                <w:sdt>
                  <w:sdtPr>
                    <w:id w:val="-790980494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Sch48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(Schmidt)</w:t>
                    </w:r>
                    <w:r w:rsidR="00BD243A">
                      <w:fldChar w:fldCharType="end"/>
                    </w:r>
                  </w:sdtContent>
                </w:sdt>
              </w:p>
              <w:p w:rsidR="00BD243A" w:rsidRDefault="00BD243A" w:rsidP="00BA231A"/>
              <w:p w:rsidR="00BD243A" w:rsidRDefault="00CD151F" w:rsidP="00BA231A">
                <w:sdt>
                  <w:sdtPr>
                    <w:id w:val="-1107340107"/>
                    <w:citation/>
                  </w:sdtPr>
                  <w:sdtEndPr/>
                  <w:sdtContent>
                    <w:r w:rsidR="00BD243A">
                      <w:fldChar w:fldCharType="begin"/>
                    </w:r>
                    <w:r w:rsidR="00BD243A">
                      <w:rPr>
                        <w:lang w:val="en-US"/>
                      </w:rPr>
                      <w:instrText xml:space="preserve"> CITATION Tae22 \l 1033 </w:instrText>
                    </w:r>
                    <w:r w:rsidR="00BD243A">
                      <w:fldChar w:fldCharType="separate"/>
                    </w:r>
                    <w:r w:rsidR="00BD243A">
                      <w:rPr>
                        <w:noProof/>
                        <w:lang w:val="en-US"/>
                      </w:rPr>
                      <w:t>(Taeuber-Arp)</w:t>
                    </w:r>
                    <w:r w:rsidR="00BD243A">
                      <w:fldChar w:fldCharType="end"/>
                    </w:r>
                  </w:sdtContent>
                </w:sdt>
              </w:p>
              <w:p w:rsidR="003235A7" w:rsidRDefault="00CD151F" w:rsidP="00BA231A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51F" w:rsidRDefault="00CD151F" w:rsidP="007A0D55">
      <w:pPr>
        <w:spacing w:after="0" w:line="240" w:lineRule="auto"/>
      </w:pPr>
      <w:r>
        <w:separator/>
      </w:r>
    </w:p>
  </w:endnote>
  <w:endnote w:type="continuationSeparator" w:id="0">
    <w:p w:rsidR="00CD151F" w:rsidRDefault="00CD151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51F" w:rsidRDefault="00CD151F" w:rsidP="007A0D55">
      <w:pPr>
        <w:spacing w:after="0" w:line="240" w:lineRule="auto"/>
      </w:pPr>
      <w:r>
        <w:separator/>
      </w:r>
    </w:p>
  </w:footnote>
  <w:footnote w:type="continuationSeparator" w:id="0">
    <w:p w:rsidR="00CD151F" w:rsidRDefault="00CD151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9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3A8C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69CD"/>
    <w:rsid w:val="00A76FD9"/>
    <w:rsid w:val="00AB436D"/>
    <w:rsid w:val="00AC029B"/>
    <w:rsid w:val="00AD2F24"/>
    <w:rsid w:val="00AD4844"/>
    <w:rsid w:val="00AF09D4"/>
    <w:rsid w:val="00B219AE"/>
    <w:rsid w:val="00B33145"/>
    <w:rsid w:val="00B574C9"/>
    <w:rsid w:val="00BA231A"/>
    <w:rsid w:val="00BC39C9"/>
    <w:rsid w:val="00BD243A"/>
    <w:rsid w:val="00BE5BF7"/>
    <w:rsid w:val="00BF40E1"/>
    <w:rsid w:val="00C27FAB"/>
    <w:rsid w:val="00C358D4"/>
    <w:rsid w:val="00C6296B"/>
    <w:rsid w:val="00CC586D"/>
    <w:rsid w:val="00CD151F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239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29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569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FF23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C0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29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A569C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FF2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92D801761D46AC8A525D5F471B9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399CF-1221-48BF-B314-1C8765714429}"/>
      </w:docPartPr>
      <w:docPartBody>
        <w:p w:rsidR="008533C7" w:rsidRDefault="007362AD">
          <w:pPr>
            <w:pStyle w:val="0192D801761D46AC8A525D5F471B908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335447CE9E5478C9BD8E8703729E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710D-8D43-4A0E-910D-025A2279B062}"/>
      </w:docPartPr>
      <w:docPartBody>
        <w:p w:rsidR="008533C7" w:rsidRDefault="007362AD">
          <w:pPr>
            <w:pStyle w:val="7335447CE9E5478C9BD8E8703729E56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74B2312829345079EABCB83DE9D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D022F-DCE3-4464-A72C-F9063A364A09}"/>
      </w:docPartPr>
      <w:docPartBody>
        <w:p w:rsidR="008533C7" w:rsidRDefault="007362AD">
          <w:pPr>
            <w:pStyle w:val="874B2312829345079EABCB83DE9D92E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51B561DFF0487090BB00B3A190E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B71BC-CC7E-4036-BC35-311E6DFBBBFE}"/>
      </w:docPartPr>
      <w:docPartBody>
        <w:p w:rsidR="008533C7" w:rsidRDefault="007362AD">
          <w:pPr>
            <w:pStyle w:val="BC51B561DFF0487090BB00B3A190E9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BB3D12310EF414885A653174E30D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BC7E0-F52F-4FA8-AE3C-257379D6D657}"/>
      </w:docPartPr>
      <w:docPartBody>
        <w:p w:rsidR="008533C7" w:rsidRDefault="007362AD">
          <w:pPr>
            <w:pStyle w:val="5BB3D12310EF414885A653174E30D52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44AA077A3A34012BE3BB0C5BBA31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FCDF4-22C2-4603-A98B-0B2D6AB004B8}"/>
      </w:docPartPr>
      <w:docPartBody>
        <w:p w:rsidR="008533C7" w:rsidRDefault="007362AD">
          <w:pPr>
            <w:pStyle w:val="244AA077A3A34012BE3BB0C5BBA319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CB49EA640947DF855534B8B7C40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91B6-1B7C-4F42-9283-AC61150E2A19}"/>
      </w:docPartPr>
      <w:docPartBody>
        <w:p w:rsidR="008533C7" w:rsidRDefault="007362AD">
          <w:pPr>
            <w:pStyle w:val="28CB49EA640947DF855534B8B7C40E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4848AEBA00A48CDB8195BFBB4F48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FE99-C538-40CB-A813-9BC36D714295}"/>
      </w:docPartPr>
      <w:docPartBody>
        <w:p w:rsidR="008533C7" w:rsidRDefault="007362AD">
          <w:pPr>
            <w:pStyle w:val="44848AEBA00A48CDB8195BFBB4F483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0622CF2581C4BDD92F64E4FBEE6A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9B828-D22B-4B37-A5A7-9F4852E74DAA}"/>
      </w:docPartPr>
      <w:docPartBody>
        <w:p w:rsidR="008533C7" w:rsidRDefault="007362AD">
          <w:pPr>
            <w:pStyle w:val="50622CF2581C4BDD92F64E4FBEE6A8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75F8D6376D34E55A6BEBE23ED32D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F89B-4661-4BDB-B403-3EDA5BC8214D}"/>
      </w:docPartPr>
      <w:docPartBody>
        <w:p w:rsidR="008533C7" w:rsidRDefault="007362AD">
          <w:pPr>
            <w:pStyle w:val="975F8D6376D34E55A6BEBE23ED32D06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C5FE8A8857E444DB3D8795805E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EAA5-EB4A-4A46-89BA-7398FA59ADF6}"/>
      </w:docPartPr>
      <w:docPartBody>
        <w:p w:rsidR="008533C7" w:rsidRDefault="007362AD">
          <w:pPr>
            <w:pStyle w:val="5C5FE8A8857E444DB3D8795805EC17D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AD"/>
    <w:rsid w:val="00362D43"/>
    <w:rsid w:val="007362AD"/>
    <w:rsid w:val="0085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92D801761D46AC8A525D5F471B9085">
    <w:name w:val="0192D801761D46AC8A525D5F471B9085"/>
  </w:style>
  <w:style w:type="paragraph" w:customStyle="1" w:styleId="7335447CE9E5478C9BD8E8703729E564">
    <w:name w:val="7335447CE9E5478C9BD8E8703729E564"/>
  </w:style>
  <w:style w:type="paragraph" w:customStyle="1" w:styleId="874B2312829345079EABCB83DE9D92ED">
    <w:name w:val="874B2312829345079EABCB83DE9D92ED"/>
  </w:style>
  <w:style w:type="paragraph" w:customStyle="1" w:styleId="BC51B561DFF0487090BB00B3A190E944">
    <w:name w:val="BC51B561DFF0487090BB00B3A190E944"/>
  </w:style>
  <w:style w:type="paragraph" w:customStyle="1" w:styleId="5BB3D12310EF414885A653174E30D527">
    <w:name w:val="5BB3D12310EF414885A653174E30D527"/>
  </w:style>
  <w:style w:type="paragraph" w:customStyle="1" w:styleId="244AA077A3A34012BE3BB0C5BBA31989">
    <w:name w:val="244AA077A3A34012BE3BB0C5BBA31989"/>
  </w:style>
  <w:style w:type="paragraph" w:customStyle="1" w:styleId="28CB49EA640947DF855534B8B7C40E21">
    <w:name w:val="28CB49EA640947DF855534B8B7C40E21"/>
  </w:style>
  <w:style w:type="paragraph" w:customStyle="1" w:styleId="44848AEBA00A48CDB8195BFBB4F483E9">
    <w:name w:val="44848AEBA00A48CDB8195BFBB4F483E9"/>
  </w:style>
  <w:style w:type="paragraph" w:customStyle="1" w:styleId="50622CF2581C4BDD92F64E4FBEE6A8BF">
    <w:name w:val="50622CF2581C4BDD92F64E4FBEE6A8BF"/>
  </w:style>
  <w:style w:type="paragraph" w:customStyle="1" w:styleId="975F8D6376D34E55A6BEBE23ED32D062">
    <w:name w:val="975F8D6376D34E55A6BEBE23ED32D062"/>
  </w:style>
  <w:style w:type="paragraph" w:customStyle="1" w:styleId="5C5FE8A8857E444DB3D8795805EC17D9">
    <w:name w:val="5C5FE8A8857E444DB3D8795805EC17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92D801761D46AC8A525D5F471B9085">
    <w:name w:val="0192D801761D46AC8A525D5F471B9085"/>
  </w:style>
  <w:style w:type="paragraph" w:customStyle="1" w:styleId="7335447CE9E5478C9BD8E8703729E564">
    <w:name w:val="7335447CE9E5478C9BD8E8703729E564"/>
  </w:style>
  <w:style w:type="paragraph" w:customStyle="1" w:styleId="874B2312829345079EABCB83DE9D92ED">
    <w:name w:val="874B2312829345079EABCB83DE9D92ED"/>
  </w:style>
  <w:style w:type="paragraph" w:customStyle="1" w:styleId="BC51B561DFF0487090BB00B3A190E944">
    <w:name w:val="BC51B561DFF0487090BB00B3A190E944"/>
  </w:style>
  <w:style w:type="paragraph" w:customStyle="1" w:styleId="5BB3D12310EF414885A653174E30D527">
    <w:name w:val="5BB3D12310EF414885A653174E30D527"/>
  </w:style>
  <w:style w:type="paragraph" w:customStyle="1" w:styleId="244AA077A3A34012BE3BB0C5BBA31989">
    <w:name w:val="244AA077A3A34012BE3BB0C5BBA31989"/>
  </w:style>
  <w:style w:type="paragraph" w:customStyle="1" w:styleId="28CB49EA640947DF855534B8B7C40E21">
    <w:name w:val="28CB49EA640947DF855534B8B7C40E21"/>
  </w:style>
  <w:style w:type="paragraph" w:customStyle="1" w:styleId="44848AEBA00A48CDB8195BFBB4F483E9">
    <w:name w:val="44848AEBA00A48CDB8195BFBB4F483E9"/>
  </w:style>
  <w:style w:type="paragraph" w:customStyle="1" w:styleId="50622CF2581C4BDD92F64E4FBEE6A8BF">
    <w:name w:val="50622CF2581C4BDD92F64E4FBEE6A8BF"/>
  </w:style>
  <w:style w:type="paragraph" w:customStyle="1" w:styleId="975F8D6376D34E55A6BEBE23ED32D062">
    <w:name w:val="975F8D6376D34E55A6BEBE23ED32D062"/>
  </w:style>
  <w:style w:type="paragraph" w:customStyle="1" w:styleId="5C5FE8A8857E444DB3D8795805EC17D9">
    <w:name w:val="5C5FE8A8857E444DB3D8795805EC17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Aar10</b:Tag>
    <b:SourceType>Book</b:SourceType>
    <b:Guid>{0AA25537-4FCB-4739-AA07-7B9C51C2F063}</b:Guid>
    <b:Author>
      <b:Author>
        <b:NameList>
          <b:Person>
            <b:Last>Kunsthaus</b:Last>
            <b:First>Aargauer</b:First>
          </b:Person>
        </b:NameList>
      </b:Author>
    </b:Author>
    <b:Title>Sophie Taeuber-Arp 1889-1943</b:Title>
    <b:Year>2010</b:Year>
    <b:Publisher>Aarau</b:Publisher>
    <b:RefOrder>1</b:RefOrder>
  </b:Source>
  <b:Source>
    <b:Tag>Arp27</b:Tag>
    <b:SourceType>Book</b:SourceType>
    <b:Guid>{F9B27D8D-D4F9-4CEB-A178-A3F161187373}</b:Guid>
    <b:Title>Anleitung zum Unterricht im Zeichnen für textile Berufe</b:Title>
    <b:Year>1927</b:Year>
    <b:City>Zurich</b:City>
    <b:Publisher>erlag Schul- und Bureaumaterialverwaltung der Stadt Zürich (Gewerbeschule der Stadt Zürich)</b:Publisher>
    <b:Author>
      <b:Author>
        <b:NameList>
          <b:Person>
            <b:Last>Arp-Taeuber</b:Last>
            <b:Middle>H.</b:Middle>
            <b:First>Sophie</b:First>
          </b:Person>
          <b:Person>
            <b:Last>Gauchat</b:Last>
            <b:First>Blanche</b:First>
          </b:Person>
        </b:NameList>
      </b:Author>
    </b:Author>
    <b:RefOrder>2</b:RefOrder>
  </b:Source>
  <b:Source>
    <b:Tag>Kut88</b:Tag>
    <b:SourceType>Book</b:SourceType>
    <b:Guid>{3867C337-4C24-4567-B02D-B295952A3BB3}</b:Guid>
    <b:Author>
      <b:Author>
        <b:NameList>
          <b:Person>
            <b:Last>Kuthy</b:Last>
            <b:First>Sandor</b:First>
          </b:Person>
        </b:NameList>
      </b:Author>
    </b:Author>
    <b:Title>Sophie Taeuber—Hans Arp Künstlerpaare—Künstlerfruende </b:Title>
    <b:Year>1988</b:Year>
    <b:City>Fribourg </b:City>
    <b:Publisher>Kunstmuseum Bern</b:Publisher>
    <b:RefOrder>3</b:RefOrder>
  </b:Source>
  <b:Source>
    <b:Tag>Sop89</b:Tag>
    <b:SourceType>Book</b:SourceType>
    <b:Guid>{165EB8DD-F459-4AA4-A116-9E0C46F7C795}</b:Guid>
    <b:Author>
      <b:Author>
        <b:NameList>
          <b:Person>
            <b:Last>Taeuber</b:Last>
            <b:First>Sophie</b:First>
          </b:Person>
        </b:NameList>
      </b:Author>
    </b:Author>
    <b:Year>1989</b:Year>
    <b:City>Paris; Lausanne</b:City>
    <b:Publisher>Musée d'art moderne de la ville de Paris and Musée cantonal des beaux-arts de Lausanne</b:Publisher>
    <b:RefOrder>4</b:RefOrder>
  </b:Source>
  <b:Source>
    <b:Tag>Obl141</b:Tag>
    <b:SourceType>Book</b:SourceType>
    <b:Guid>{C8FCD0DF-49DD-4508-AF0D-80B11A0D8502}</b:Guid>
    <b:Author>
      <b:Author>
        <b:NameList>
          <b:Person>
            <b:Last>Obler</b:Last>
            <b:First>Bibiana</b:First>
          </b:Person>
        </b:NameList>
      </b:Author>
    </b:Author>
    <b:Title>Intimate Collaborations: Kandinsky and Münter, Arp and Taeuber</b:Title>
    <b:Year>2014</b:Year>
    <b:City>New Haven</b:City>
    <b:Publisher>Yale UP</b:Publisher>
    <b:RefOrder>5</b:RefOrder>
  </b:Source>
  <b:Source>
    <b:Tag>Sch48</b:Tag>
    <b:SourceType>Book</b:SourceType>
    <b:Guid>{8547004E-F0A4-4981-82C1-BFE41CE50843}</b:Guid>
    <b:Title>Sophie Taeuber-Arp</b:Title>
    <b:Year>1948</b:Year>
    <b:City>Basel</b:City>
    <b:Publisher>Holbein</b:Publisher>
    <b:Author>
      <b:Editor>
        <b:NameList>
          <b:Person>
            <b:Last>Schmidt</b:Last>
            <b:First>Georg</b:First>
          </b:Person>
        </b:NameList>
      </b:Editor>
    </b:Author>
    <b:RefOrder>6</b:RefOrder>
  </b:Source>
  <b:Source>
    <b:Tag>Tae22</b:Tag>
    <b:SourceType>JournalArticle</b:SourceType>
    <b:Guid>{6B13A115-30A9-4261-B822-E36784ECAB09}</b:Guid>
    <b:Title>Bemerkungen über den Unterricht im ornamentalen Entwerfen</b:Title>
    <b:Year>1922</b:Year>
    <b:Author>
      <b:Author>
        <b:NameList>
          <b:Person>
            <b:Last>Taeuber-Arp</b:Last>
            <b:First>Sophie</b:First>
          </b:Person>
        </b:NameList>
      </b:Author>
    </b:Author>
    <b:JournalName>Korrespondenzblatt des Schweiz. Verins der Gewerbe- und Hauswirtschaftslehrerinnen</b:JournalName>
    <b:Pages>156-59</b:Pages>
    <b:Month>December</b:Month>
    <b:Day>31</b:Day>
    <b:Volume>14</b:Volume>
    <b:Issue>11/12</b:Issue>
    <b:RefOrder>7</b:RefOrder>
  </b:Source>
</b:Sources>
</file>

<file path=customXml/itemProps1.xml><?xml version="1.0" encoding="utf-8"?>
<ds:datastoreItem xmlns:ds="http://schemas.openxmlformats.org/officeDocument/2006/customXml" ds:itemID="{53E1BDE7-C331-4826-BEFF-7A7E5887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5</cp:revision>
  <dcterms:created xsi:type="dcterms:W3CDTF">2014-11-16T00:52:00Z</dcterms:created>
  <dcterms:modified xsi:type="dcterms:W3CDTF">2014-11-16T01:15:00Z</dcterms:modified>
</cp:coreProperties>
</file>