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bookmarkStart w:id="0" w:name="__DdeLink__8635_1031160184"/>
      <w:bookmarkStart w:id="1" w:name="__DdeLink__6903_1031160184"/>
      <w:bookmarkEnd w:id="0"/>
      <w:bookmarkEnd w:id="1"/>
      <w:r>
        <w:rPr>
          <w:rFonts w:cs="Helvetica" w:eastAsia="Helvetica"/>
          <w:b/>
          <w:bCs/>
          <w:u w:val="single"/>
        </w:rPr>
        <w:t>Manger, Itsik (1901-1969)</w:t>
      </w:r>
    </w:p>
    <w:p>
      <w:pPr>
        <w:pStyle w:val="style0"/>
        <w:spacing w:line="100" w:lineRule="atLeast"/>
      </w:pPr>
      <w:r>
        <w:rPr/>
      </w:r>
    </w:p>
    <w:p>
      <w:pPr>
        <w:pStyle w:val="style0"/>
        <w:widowControl w:val="false"/>
        <w:spacing w:line="360" w:lineRule="atLeast"/>
      </w:pPr>
      <w:r>
        <w:rPr>
          <w:rFonts w:cs="Helvetica"/>
          <w:color w:val="000009"/>
          <w:sz w:val="24"/>
          <w:szCs w:val="24"/>
        </w:rPr>
        <w:t xml:space="preserve">Itsik Manger was a prominent Yiddish poet, playwright, prose writer, a </w:t>
      </w:r>
      <w:r>
        <w:rPr>
          <w:rFonts w:cs="TimesNewRomanPSMT;Times New Roman"/>
          <w:color w:val="000009"/>
          <w:sz w:val="24"/>
          <w:szCs w:val="24"/>
        </w:rPr>
        <w:t>‘</w:t>
      </w:r>
      <w:r>
        <w:rPr>
          <w:rFonts w:cs="Helvetica"/>
          <w:color w:val="000009"/>
          <w:sz w:val="24"/>
          <w:szCs w:val="24"/>
        </w:rPr>
        <w:t>master tailor</w:t>
      </w:r>
      <w:r>
        <w:rPr>
          <w:rFonts w:cs="TimesNewRomanPSMT;Times New Roman"/>
          <w:color w:val="000009"/>
          <w:sz w:val="24"/>
          <w:szCs w:val="24"/>
        </w:rPr>
        <w:t>’</w:t>
      </w:r>
      <w:r>
        <w:rPr>
          <w:rFonts w:cs="Helvetica"/>
          <w:color w:val="000009"/>
          <w:sz w:val="24"/>
          <w:szCs w:val="24"/>
        </w:rPr>
        <w:t xml:space="preserve"> of the written word. He entered into the field of Jewish literature as the </w:t>
      </w:r>
      <w:r>
        <w:rPr>
          <w:rFonts w:cs="TimesNewRomanPSMT;Times New Roman"/>
          <w:color w:val="000009"/>
          <w:sz w:val="24"/>
          <w:szCs w:val="24"/>
        </w:rPr>
        <w:t>‘</w:t>
      </w:r>
      <w:r>
        <w:rPr>
          <w:rFonts w:cs="Helvetica"/>
          <w:color w:val="000009"/>
          <w:sz w:val="24"/>
          <w:szCs w:val="24"/>
        </w:rPr>
        <w:t>Duke of the Jewish Ballad</w:t>
      </w:r>
      <w:r>
        <w:rPr>
          <w:rFonts w:cs="TimesNewRomanPSMT;Times New Roman"/>
          <w:color w:val="000009"/>
          <w:sz w:val="24"/>
          <w:szCs w:val="24"/>
        </w:rPr>
        <w:t>’</w:t>
      </w:r>
      <w:r>
        <w:rPr>
          <w:rFonts w:cs="Helvetica"/>
          <w:color w:val="000009"/>
          <w:sz w:val="24"/>
          <w:szCs w:val="24"/>
        </w:rPr>
        <w:t>. Manger drew his inspiration from traditional troubadour poetry, recreating the past and interpreting it with modernist sensibilities. In his works he referred to folk poetry and adapted biblical themes, writing about the fate of the Jews in Eastern Europe.  </w:t>
      </w:r>
    </w:p>
    <w:p>
      <w:pPr>
        <w:pStyle w:val="style0"/>
        <w:widowControl w:val="false"/>
        <w:spacing w:line="360" w:lineRule="atLeast"/>
      </w:pPr>
      <w:r>
        <w:rPr>
          <w:rFonts w:cs="TimesNewRomanPSMT;Times New Roman"/>
          <w:color w:val="000009"/>
          <w:sz w:val="24"/>
          <w:szCs w:val="24"/>
        </w:rPr>
        <w:t> </w:t>
      </w:r>
    </w:p>
    <w:p>
      <w:pPr>
        <w:pStyle w:val="style0"/>
        <w:widowControl w:val="false"/>
        <w:spacing w:line="360" w:lineRule="atLeast"/>
      </w:pPr>
      <w:r>
        <w:rPr>
          <w:rFonts w:cs="Helvetica"/>
          <w:color w:val="000009"/>
          <w:sz w:val="24"/>
          <w:szCs w:val="24"/>
        </w:rPr>
        <w:t xml:space="preserve">Born Isidor Helfer on 30 May, 1901, in a taylor's family in Czernovitz, he grew up in poverty in Jassy. He attented a German school and began writing first poems in German, but was soon reaching back to the roots of Yiddish poetry. In the 1920s he frequently travelled to Bucharest, Warsaw and Bukovina, leading the life of a vagabond. He then settled in Warsaw for the next decade, which became his most productive period. </w:t>
      </w:r>
      <w:r>
        <w:rPr>
          <w:rFonts w:cs="Verdana"/>
          <w:color w:val="000009"/>
          <w:sz w:val="24"/>
          <w:szCs w:val="24"/>
        </w:rPr>
        <w:t xml:space="preserve">His poems have been published in the most important Yiddish literary journals, as well as for the Yiddish press in Poland. He </w:t>
      </w:r>
      <w:r>
        <w:rPr>
          <w:rFonts w:cs="Helvetica"/>
          <w:color w:val="1C1C1C"/>
          <w:sz w:val="24"/>
          <w:szCs w:val="24"/>
        </w:rPr>
        <w:t xml:space="preserve">issued his own literary journal called </w:t>
      </w:r>
      <w:r>
        <w:rPr>
          <w:rFonts w:cs="Helvetica"/>
          <w:i/>
          <w:color w:val="1C1C1C"/>
          <w:sz w:val="24"/>
          <w:szCs w:val="24"/>
        </w:rPr>
        <w:t xml:space="preserve">Getseylte verter </w:t>
      </w:r>
      <w:r>
        <w:rPr>
          <w:rFonts w:cs="Helvetica"/>
          <w:color w:val="1C1C1C"/>
          <w:sz w:val="24"/>
          <w:szCs w:val="24"/>
        </w:rPr>
        <w:t>(Counted Words), filled with his poetry, fiction and artistic manifestos.</w:t>
      </w:r>
      <w:r>
        <w:rPr>
          <w:rFonts w:cs="Helvetica"/>
          <w:color w:val="000009"/>
          <w:sz w:val="24"/>
          <w:szCs w:val="24"/>
        </w:rPr>
        <w:t> </w:t>
      </w:r>
    </w:p>
    <w:p>
      <w:pPr>
        <w:pStyle w:val="style0"/>
        <w:widowControl w:val="false"/>
        <w:spacing w:line="360" w:lineRule="atLeast"/>
      </w:pPr>
      <w:r>
        <w:rPr>
          <w:rFonts w:cs="TimesNewRomanPSMT;Times New Roman"/>
          <w:color w:val="000009"/>
          <w:sz w:val="24"/>
          <w:szCs w:val="24"/>
        </w:rPr>
        <w:t> </w:t>
      </w:r>
    </w:p>
    <w:p>
      <w:pPr>
        <w:pStyle w:val="style0"/>
        <w:widowControl w:val="false"/>
        <w:spacing w:line="360" w:lineRule="atLeast"/>
      </w:pPr>
      <w:r>
        <w:rPr>
          <w:rFonts w:cs="Helvetica"/>
          <w:color w:val="000009"/>
          <w:sz w:val="24"/>
          <w:szCs w:val="24"/>
        </w:rPr>
        <w:t xml:space="preserve">Manger published his debut volume of poetry in 1929, and shot to fame after the publication of his </w:t>
      </w:r>
      <w:r>
        <w:rPr>
          <w:rFonts w:cs="Verdana"/>
          <w:i/>
          <w:color w:val="000009"/>
          <w:sz w:val="24"/>
          <w:szCs w:val="24"/>
        </w:rPr>
        <w:t>Khumesh-lider</w:t>
      </w:r>
      <w:r>
        <w:rPr>
          <w:rFonts w:cs="Verdana"/>
          <w:color w:val="000009"/>
          <w:sz w:val="24"/>
          <w:szCs w:val="24"/>
        </w:rPr>
        <w:t xml:space="preserve"> (Bible Songs), </w:t>
      </w:r>
      <w:r>
        <w:rPr>
          <w:rFonts w:cs="TimesNewRomanPSMT;Times New Roman"/>
          <w:color w:val="000009"/>
          <w:sz w:val="24"/>
          <w:szCs w:val="24"/>
        </w:rPr>
        <w:t xml:space="preserve">later expanded into </w:t>
      </w:r>
      <w:r>
        <w:rPr>
          <w:rFonts w:cs="TimesNewRomanPSMT;Times New Roman"/>
          <w:i/>
          <w:color w:val="000009"/>
          <w:sz w:val="24"/>
          <w:szCs w:val="24"/>
        </w:rPr>
        <w:t>Medresh Itsik</w:t>
      </w:r>
      <w:r>
        <w:rPr>
          <w:rFonts w:cs="TimesNewRomanPSMT;Times New Roman"/>
          <w:color w:val="000009"/>
          <w:sz w:val="24"/>
          <w:szCs w:val="24"/>
        </w:rPr>
        <w:t xml:space="preserve"> (Itsik's Midrash),</w:t>
      </w:r>
      <w:r>
        <w:rPr>
          <w:rFonts w:cs="TimesNewRomanPSMT;Times New Roman"/>
          <w:color w:val="424242"/>
          <w:sz w:val="24"/>
          <w:szCs w:val="24"/>
        </w:rPr>
        <w:t xml:space="preserve"> </w:t>
      </w:r>
      <w:r>
        <w:rPr>
          <w:rFonts w:cs="Verdana"/>
          <w:color w:val="000009"/>
          <w:sz w:val="24"/>
          <w:szCs w:val="24"/>
        </w:rPr>
        <w:t xml:space="preserve">a collection of poems, in which he portrayed patriarchal heroes as his contemporary Jews from a small town – shtetl. His second most famous work, </w:t>
      </w:r>
      <w:r>
        <w:rPr>
          <w:rFonts w:cs="Verdana"/>
          <w:i/>
          <w:color w:val="000009"/>
          <w:sz w:val="24"/>
          <w:szCs w:val="24"/>
        </w:rPr>
        <w:t>Megile-lider</w:t>
      </w:r>
      <w:r>
        <w:rPr>
          <w:rFonts w:cs="Verdana"/>
          <w:color w:val="000009"/>
          <w:sz w:val="24"/>
          <w:szCs w:val="24"/>
        </w:rPr>
        <w:t>, transmitted the tradition of Purim performances (purimshpil), in the form of lyrical dramas, thus rewriting the Purim Megilah</w:t>
      </w:r>
      <w:r>
        <w:rPr>
          <w:rFonts w:cs="Helvetica"/>
          <w:color w:val="1C1C1C"/>
          <w:sz w:val="24"/>
          <w:szCs w:val="24"/>
        </w:rPr>
        <w:t>.</w:t>
      </w:r>
      <w:r>
        <w:rPr>
          <w:rFonts w:cs="Helvetica"/>
          <w:color w:val="000009"/>
          <w:sz w:val="24"/>
          <w:szCs w:val="24"/>
        </w:rPr>
        <w:t> </w:t>
      </w:r>
    </w:p>
    <w:p>
      <w:pPr>
        <w:pStyle w:val="style0"/>
        <w:widowControl w:val="false"/>
        <w:spacing w:line="360" w:lineRule="atLeast"/>
      </w:pPr>
      <w:r>
        <w:rPr>
          <w:rFonts w:cs="TimesNewRomanPSMT;Times New Roman"/>
          <w:color w:val="000009"/>
          <w:sz w:val="24"/>
          <w:szCs w:val="24"/>
        </w:rPr>
        <w:t> </w:t>
      </w:r>
    </w:p>
    <w:p>
      <w:pPr>
        <w:pStyle w:val="style0"/>
        <w:widowControl w:val="false"/>
        <w:spacing w:line="360" w:lineRule="atLeast"/>
      </w:pPr>
      <w:r>
        <w:rPr>
          <w:rFonts w:cs="TimesNewRomanPSMT;Times New Roman"/>
          <w:color w:val="000009"/>
          <w:sz w:val="24"/>
          <w:szCs w:val="24"/>
        </w:rPr>
        <w:t>More than any other Yiddish poet Itsik Manger concentrated on the ballad. He wrote around ninety ballads and it was by far his favorite genre. H</w:t>
      </w:r>
      <w:r>
        <w:rPr>
          <w:rFonts w:cs="Verdana"/>
          <w:color w:val="000009"/>
          <w:sz w:val="24"/>
          <w:szCs w:val="24"/>
        </w:rPr>
        <w:t xml:space="preserve">is programmatic essay </w:t>
      </w:r>
      <w:r>
        <w:rPr>
          <w:rFonts w:cs="Verdana"/>
          <w:i/>
          <w:color w:val="000009"/>
          <w:sz w:val="24"/>
          <w:szCs w:val="24"/>
        </w:rPr>
        <w:t>Di balade—di vizye fun blut</w:t>
      </w:r>
      <w:r>
        <w:rPr>
          <w:rFonts w:cs="Verdana"/>
          <w:color w:val="000009"/>
          <w:sz w:val="24"/>
          <w:szCs w:val="24"/>
        </w:rPr>
        <w:t xml:space="preserve"> (The Ballad: The Vision of Blood; 1929), an attempt to articulate a modernist poetic vision, reveals his ballads concept with its proximity to the tragedy.  </w:t>
      </w:r>
    </w:p>
    <w:p>
      <w:pPr>
        <w:pStyle w:val="style0"/>
        <w:widowControl w:val="false"/>
        <w:spacing w:line="360" w:lineRule="atLeast"/>
      </w:pPr>
      <w:r>
        <w:rPr>
          <w:rFonts w:cs="TimesNewRomanPSMT;Times New Roman"/>
          <w:color w:val="000009"/>
          <w:sz w:val="24"/>
          <w:szCs w:val="24"/>
        </w:rPr>
        <w:t> </w:t>
      </w:r>
    </w:p>
    <w:p>
      <w:pPr>
        <w:pStyle w:val="style0"/>
        <w:widowControl w:val="false"/>
        <w:spacing w:line="360" w:lineRule="atLeast"/>
      </w:pPr>
      <w:r>
        <w:rPr>
          <w:rFonts w:cs="TimesNewRomanPSMT;Times New Roman"/>
          <w:color w:val="000009"/>
          <w:sz w:val="24"/>
          <w:szCs w:val="24"/>
        </w:rPr>
        <w:t>Manger regarded himself as a Yiddish troubador. He became the Yiddish poet for all seasons who creativelly synthesized a host of styles and genres. His poetry, full of fantasy, musical elements, biblical themes and folk motives places him among the most prominent Jewish lyricists. </w:t>
      </w:r>
    </w:p>
    <w:p>
      <w:pPr>
        <w:pStyle w:val="style0"/>
        <w:widowControl w:val="false"/>
        <w:spacing w:line="360" w:lineRule="atLeast"/>
      </w:pPr>
      <w:r>
        <w:rPr>
          <w:rFonts w:cs="TimesNewRomanPSMT;Times New Roman"/>
          <w:color w:val="000009"/>
          <w:sz w:val="24"/>
          <w:szCs w:val="24"/>
        </w:rPr>
        <w:t>He achieved great success, gaining fame and popularity, at home and also in Israel, where he emigrated and spent the last years of his life. A prestigious literary award was named after him in 1968. </w:t>
      </w:r>
    </w:p>
    <w:p>
      <w:pPr>
        <w:pStyle w:val="style0"/>
        <w:widowControl w:val="false"/>
        <w:spacing w:line="360" w:lineRule="atLeast"/>
      </w:pPr>
      <w:r>
        <w:rPr>
          <w:rFonts w:cs="Helvetica" w:eastAsia="Helvetica"/>
          <w:color w:val="000000"/>
          <w:sz w:val="24"/>
          <w:szCs w:val="24"/>
        </w:rPr>
        <w:t>He died on 21 February, 1969, in Gedera in Israel.  </w:t>
      </w:r>
      <w:r>
        <w:rPr>
          <w:rFonts w:cs="Helvetica" w:eastAsia="Helvetica"/>
          <w:color w:val="000009"/>
          <w:sz w:val="24"/>
          <w:szCs w:val="24"/>
        </w:rPr>
        <w:t> </w:t>
      </w:r>
    </w:p>
    <w:p>
      <w:pPr>
        <w:pStyle w:val="style0"/>
        <w:spacing w:line="100" w:lineRule="atLeast"/>
      </w:pPr>
      <w:r>
        <w:rPr/>
      </w:r>
    </w:p>
    <w:p>
      <w:pPr>
        <w:pStyle w:val="style0"/>
        <w:spacing w:line="100" w:lineRule="atLeast"/>
      </w:pPr>
      <w:r>
        <w:rPr>
          <w:rFonts w:cs="Helvetica" w:eastAsia="Helvetica"/>
          <w:b/>
          <w:bCs/>
          <w:u w:val="single"/>
        </w:rPr>
        <w:t>List of works</w:t>
      </w:r>
    </w:p>
    <w:p>
      <w:pPr>
        <w:pStyle w:val="style0"/>
        <w:spacing w:line="100" w:lineRule="atLeast"/>
      </w:pPr>
      <w:r>
        <w:rPr/>
      </w:r>
    </w:p>
    <w:p>
      <w:pPr>
        <w:pStyle w:val="style0"/>
        <w:spacing w:after="100" w:before="0" w:line="200" w:lineRule="atLeast"/>
      </w:pPr>
      <w:r>
        <w:rPr>
          <w:rFonts w:cs="Verdana" w:eastAsia="Verdana"/>
          <w:i w:val="false"/>
          <w:iCs w:val="false"/>
          <w:color w:val="0E0F25"/>
        </w:rPr>
        <w:t>Manger, I.</w:t>
      </w:r>
      <w:r>
        <w:rPr>
          <w:rFonts w:cs="Verdana" w:eastAsia="Verdana"/>
          <w:i/>
          <w:iCs/>
          <w:color w:val="0E0F25"/>
        </w:rPr>
        <w:t xml:space="preserve"> </w:t>
      </w:r>
      <w:r>
        <w:rPr>
          <w:rFonts w:cs="PalatinoLinotype-Roman" w:eastAsia="PalatinoLinotype-Roman"/>
          <w:color w:val="0E0F25"/>
        </w:rPr>
        <w:t xml:space="preserve">(1961) </w:t>
      </w:r>
      <w:r>
        <w:rPr>
          <w:rFonts w:cs="PalatinoLinotype-Roman" w:eastAsia="PalatinoLinotype-Roman"/>
          <w:i/>
          <w:iCs/>
          <w:color w:val="0E0F25"/>
        </w:rPr>
        <w:t xml:space="preserve">Noente geshtaltn un andere shriftn - gezamlte shriftn </w:t>
      </w:r>
      <w:r>
        <w:rPr>
          <w:rFonts w:cs="PalatinoLinotype-Roman" w:eastAsia="PalatinoLinotype-Roman"/>
          <w:color w:val="0E0F25"/>
        </w:rPr>
        <w:t>(collected works) New York: Itsik Manger Yoyvl-komitet.</w:t>
      </w:r>
    </w:p>
    <w:p>
      <w:pPr>
        <w:pStyle w:val="style0"/>
        <w:spacing w:after="100" w:before="0" w:line="200" w:lineRule="atLeast"/>
      </w:pPr>
      <w:r>
        <w:rPr>
          <w:rFonts w:cs="Verdana" w:eastAsia="Verdana"/>
          <w:i w:val="false"/>
          <w:iCs w:val="false"/>
          <w:color w:val="0E0F25"/>
        </w:rPr>
        <w:t xml:space="preserve">Manger, I. (ed.) </w:t>
      </w:r>
      <w:r>
        <w:rPr>
          <w:rFonts w:cs="Verdana" w:eastAsia="Verdana"/>
          <w:color w:val="0E0F25"/>
        </w:rPr>
        <w:t>(</w:t>
      </w:r>
      <w:r>
        <w:rPr>
          <w:rFonts w:cs="PalatinoLinotype-Roman" w:eastAsia="PalatinoLinotype-Roman"/>
          <w:color w:val="0E0F25"/>
        </w:rPr>
        <w:t xml:space="preserve">1929-32) </w:t>
      </w:r>
      <w:r>
        <w:rPr>
          <w:rFonts w:cs="PalatinoLinotype-Roman" w:eastAsia="PalatinoLinotype-Roman"/>
          <w:i/>
          <w:iCs/>
          <w:color w:val="0E0F25"/>
        </w:rPr>
        <w:t xml:space="preserve">Getseylte verter </w:t>
      </w:r>
      <w:r>
        <w:rPr>
          <w:rFonts w:cs="PalatinoLinotype-Roman" w:eastAsia="PalatinoLinotype-Roman"/>
          <w:i w:val="false"/>
          <w:iCs w:val="false"/>
          <w:color w:val="0E0F25"/>
        </w:rPr>
        <w:t>1-12</w:t>
      </w:r>
      <w:r>
        <w:rPr>
          <w:rFonts w:cs="PalatinoLinotype-Roman" w:eastAsia="PalatinoLinotype-Roman"/>
          <w:i/>
          <w:iCs/>
          <w:color w:val="0E0F25"/>
        </w:rPr>
        <w:t>.</w:t>
      </w:r>
    </w:p>
    <w:p>
      <w:pPr>
        <w:pStyle w:val="style0"/>
        <w:spacing w:line="200" w:lineRule="atLeast"/>
      </w:pPr>
      <w:r>
        <w:rPr>
          <w:rFonts w:cs="PalatinoLinotype-Roman" w:eastAsia="PalatinoLinotype-Roman"/>
          <w:i/>
          <w:iCs/>
          <w:color w:val="0E0F25"/>
        </w:rPr>
        <w:t>------</w:t>
      </w:r>
      <w:r>
        <w:rPr>
          <w:rFonts w:cs="Verdana" w:eastAsia="Verdana"/>
        </w:rPr>
        <w:t xml:space="preserve"> (</w:t>
      </w:r>
      <w:r>
        <w:rPr>
          <w:rFonts w:cs="PalatinoLinotype-Roman" w:eastAsia="PalatinoLinotype-Roman"/>
          <w:color w:val="0E0F25"/>
        </w:rPr>
        <w:t>1929)</w:t>
      </w:r>
      <w:r>
        <w:rPr>
          <w:rFonts w:cs="Verdana" w:eastAsia="Verdana"/>
        </w:rPr>
        <w:t xml:space="preserve"> </w:t>
      </w:r>
      <w:r>
        <w:rPr>
          <w:rFonts w:cs="Verdana" w:eastAsia="Verdana"/>
          <w:i/>
          <w:iCs/>
        </w:rPr>
        <w:t>Shtern oyfn dakh,</w:t>
      </w:r>
      <w:r>
        <w:rPr>
          <w:rFonts w:cs="Verdana" w:eastAsia="Verdana"/>
        </w:rPr>
        <w:t xml:space="preserve"> </w:t>
      </w:r>
      <w:r>
        <w:rPr>
          <w:rFonts w:cs="PalatinoLinotype-Roman" w:eastAsia="PalatinoLinotype-Roman"/>
          <w:color w:val="0E0F25"/>
        </w:rPr>
        <w:t xml:space="preserve">Bukaresht: farlag Sholem Aleykhem. </w:t>
      </w:r>
    </w:p>
    <w:p>
      <w:pPr>
        <w:pStyle w:val="style0"/>
        <w:spacing w:after="100" w:before="0" w:line="200" w:lineRule="atLeast"/>
      </w:pPr>
      <w:r>
        <w:rPr>
          <w:rFonts w:cs="PalatinoLinotype-Roman" w:eastAsia="PalatinoLinotype-Roman"/>
          <w:i/>
          <w:iCs/>
          <w:color w:val="0E0F25"/>
        </w:rPr>
        <w:t xml:space="preserve">------ </w:t>
      </w:r>
      <w:r>
        <w:rPr>
          <w:rFonts w:cs="PalatinoLinotype-Roman" w:eastAsia="PalatinoLinotype-Roman"/>
          <w:color w:val="0E0F25"/>
        </w:rPr>
        <w:t xml:space="preserve">(1933) </w:t>
      </w:r>
      <w:r>
        <w:rPr>
          <w:rFonts w:cs="PalatinoLinotype-Roman" w:eastAsia="PalatinoLinotype-Roman"/>
          <w:i/>
          <w:iCs/>
          <w:color w:val="0E0F25"/>
        </w:rPr>
        <w:t xml:space="preserve">Lamtern in vint,  </w:t>
      </w:r>
      <w:r>
        <w:rPr>
          <w:rFonts w:cs="PalatinoLinotype-Roman" w:eastAsia="PalatinoLinotype-Roman"/>
          <w:color w:val="0E0F25"/>
        </w:rPr>
        <w:t xml:space="preserve">Warsaw: farlag Turem. </w:t>
      </w:r>
    </w:p>
    <w:p>
      <w:pPr>
        <w:pStyle w:val="style0"/>
        <w:spacing w:after="100" w:before="0" w:line="200" w:lineRule="atLeast"/>
      </w:pPr>
      <w:r>
        <w:rPr>
          <w:rFonts w:cs="PalatinoLinotype-Roman" w:eastAsia="PalatinoLinotype-Roman"/>
          <w:color w:val="0E0F25"/>
        </w:rPr>
        <w:t xml:space="preserve"> </w:t>
      </w:r>
      <w:r>
        <w:rPr>
          <w:rFonts w:cs="PalatinoLinotype-Roman" w:eastAsia="PalatinoLinotype-Roman"/>
          <w:i/>
          <w:iCs/>
          <w:color w:val="0E0F25"/>
        </w:rPr>
        <w:t xml:space="preserve">------ </w:t>
      </w:r>
      <w:r>
        <w:rPr>
          <w:rFonts w:cs="PalatinoLinotype-Roman" w:eastAsia="PalatinoLinotype-Roman"/>
          <w:color w:val="0E0F25"/>
        </w:rPr>
        <w:t xml:space="preserve">(1935) </w:t>
      </w:r>
      <w:r>
        <w:rPr>
          <w:rFonts w:cs="PalatinoLinotype-Roman" w:eastAsia="PalatinoLinotype-Roman"/>
          <w:i/>
          <w:iCs/>
          <w:color w:val="0E0F25"/>
        </w:rPr>
        <w:t xml:space="preserve">Khumesh-lider, </w:t>
      </w:r>
      <w:r>
        <w:rPr>
          <w:rFonts w:cs="PalatinoLinotype-Roman" w:eastAsia="PalatinoLinotype-Roman"/>
          <w:color w:val="0E0F25"/>
        </w:rPr>
        <w:t>Warsaw: farlag Aleynenyu.</w:t>
      </w:r>
    </w:p>
    <w:p>
      <w:pPr>
        <w:pStyle w:val="style0"/>
        <w:spacing w:after="100" w:before="0" w:line="200" w:lineRule="atLeast"/>
      </w:pPr>
      <w:r>
        <w:rPr>
          <w:rFonts w:cs="PalatinoLinotype-Roman" w:eastAsia="PalatinoLinotype-Roman"/>
          <w:color w:val="0E0F25"/>
        </w:rPr>
        <w:t xml:space="preserve"> </w:t>
      </w:r>
      <w:r>
        <w:rPr>
          <w:rFonts w:cs="PalatinoLinotype-Roman" w:eastAsia="PalatinoLinotype-Roman"/>
          <w:i/>
          <w:iCs/>
          <w:color w:val="0E0F25"/>
        </w:rPr>
        <w:t xml:space="preserve">------ </w:t>
      </w:r>
      <w:r>
        <w:rPr>
          <w:rFonts w:cs="PalatinoLinotype-Roman" w:eastAsia="PalatinoLinotype-Roman"/>
          <w:color w:val="0E0F25"/>
        </w:rPr>
        <w:t xml:space="preserve">(1936) </w:t>
      </w:r>
      <w:r>
        <w:rPr>
          <w:rFonts w:cs="PalatinoLinotype-Roman" w:eastAsia="PalatinoLinotype-Roman"/>
          <w:i/>
          <w:iCs/>
          <w:color w:val="0E0F25"/>
        </w:rPr>
        <w:t xml:space="preserve">Megile-lider, </w:t>
      </w:r>
      <w:r>
        <w:rPr>
          <w:rFonts w:cs="PalatinoLinotype-Roman" w:eastAsia="PalatinoLinotype-Roman"/>
          <w:color w:val="0E0F25"/>
        </w:rPr>
        <w:t>Warsaw: Aleynenyu.</w:t>
      </w:r>
    </w:p>
    <w:p>
      <w:pPr>
        <w:pStyle w:val="style0"/>
        <w:spacing w:after="100" w:before="0" w:line="200" w:lineRule="atLeast"/>
      </w:pPr>
      <w:r>
        <w:rPr>
          <w:rFonts w:cs="PalatinoLinotype-Roman" w:eastAsia="PalatinoLinotype-Roman"/>
          <w:color w:val="0E0F25"/>
        </w:rPr>
        <w:t xml:space="preserve"> </w:t>
      </w:r>
      <w:r>
        <w:rPr>
          <w:rFonts w:cs="PalatinoLinotype-Roman" w:eastAsia="PalatinoLinotype-Roman"/>
          <w:i/>
          <w:iCs/>
          <w:color w:val="0E0F25"/>
        </w:rPr>
        <w:t xml:space="preserve">------ </w:t>
      </w:r>
      <w:r>
        <w:rPr>
          <w:rFonts w:cs="PalatinoLinotype-Roman" w:eastAsia="PalatinoLinotype-Roman"/>
          <w:color w:val="0E0F25"/>
        </w:rPr>
        <w:t xml:space="preserve">(1939) </w:t>
      </w:r>
      <w:r>
        <w:rPr>
          <w:rFonts w:cs="PalatinoLinotype-Roman" w:eastAsia="PalatinoLinotype-Roman"/>
          <w:i/>
          <w:iCs/>
          <w:color w:val="0E0F25"/>
        </w:rPr>
        <w:t>Di vunderlekhe lebensbashraybung fun Shmuel Aba Abervo – dos bukh fun ganeydn,</w:t>
      </w:r>
    </w:p>
    <w:p>
      <w:pPr>
        <w:pStyle w:val="style0"/>
        <w:spacing w:line="200" w:lineRule="atLeast"/>
      </w:pPr>
      <w:r>
        <w:rPr>
          <w:rFonts w:cs="PalatinoLinotype-Roman" w:eastAsia="PalatinoLinotype-Roman"/>
          <w:color w:val="0E0F25"/>
        </w:rPr>
        <w:t>Warsaw: farlag H. Bzshoza.</w:t>
      </w:r>
    </w:p>
    <w:p>
      <w:pPr>
        <w:pStyle w:val="style0"/>
        <w:spacing w:after="100" w:before="0" w:line="200" w:lineRule="atLeast"/>
      </w:pPr>
      <w:r>
        <w:rPr>
          <w:rFonts w:cs="PalatinoLinotype-Roman" w:eastAsia="PalatinoLinotype-Roman"/>
          <w:color w:val="0E0F25"/>
        </w:rPr>
        <w:t xml:space="preserve"> </w:t>
      </w:r>
      <w:r>
        <w:rPr>
          <w:rFonts w:cs="PalatinoLinotype-Roman" w:eastAsia="PalatinoLinotype-Roman"/>
          <w:i/>
          <w:iCs/>
          <w:color w:val="0E0F25"/>
        </w:rPr>
        <w:t xml:space="preserve">------ </w:t>
      </w:r>
      <w:r>
        <w:rPr>
          <w:rFonts w:cs="PalatinoLinotype-Roman" w:eastAsia="PalatinoLinotype-Roman"/>
          <w:color w:val="0E0F25"/>
        </w:rPr>
        <w:t xml:space="preserve">(1942) </w:t>
      </w:r>
      <w:r>
        <w:rPr>
          <w:rFonts w:cs="Verdana" w:eastAsia="Verdana"/>
          <w:i/>
          <w:iCs/>
        </w:rPr>
        <w:t>Volkns ibern dakh,</w:t>
      </w:r>
      <w:r>
        <w:rPr>
          <w:rFonts w:cs="Verdana" w:eastAsia="Verdana"/>
        </w:rPr>
        <w:t xml:space="preserve"> </w:t>
      </w:r>
      <w:r>
        <w:rPr>
          <w:rFonts w:cs="PalatinoLinotype-Roman" w:eastAsia="PalatinoLinotype-Roman"/>
          <w:color w:val="0E0F25"/>
        </w:rPr>
        <w:t xml:space="preserve">London: </w:t>
      </w:r>
      <w:bookmarkStart w:id="2" w:name="move260960724"/>
      <w:r>
        <w:rPr>
          <w:rFonts w:cs="PalatinoLinotype-Roman" w:eastAsia="PalatinoLinotype-Roman"/>
          <w:color w:val="0E0F25"/>
        </w:rPr>
        <w:t>Aleynenyu</w:t>
      </w:r>
      <w:bookmarkEnd w:id="2"/>
      <w:r>
        <w:rPr>
          <w:rFonts w:cs="PalatinoLinotype-Roman" w:eastAsia="PalatinoLinotype-Roman"/>
          <w:color w:val="0E0F25"/>
        </w:rPr>
        <w:t>.</w:t>
      </w:r>
    </w:p>
    <w:p>
      <w:pPr>
        <w:pStyle w:val="style0"/>
        <w:spacing w:after="100" w:before="0" w:line="200" w:lineRule="atLeast"/>
      </w:pPr>
      <w:r>
        <w:rPr>
          <w:rFonts w:cs="PalatinoLinotype-Roman" w:eastAsia="PalatinoLinotype-Roman"/>
          <w:color w:val="0E0F25"/>
        </w:rPr>
        <w:t xml:space="preserve"> </w:t>
      </w:r>
      <w:r>
        <w:rPr>
          <w:rFonts w:cs="PalatinoLinotype-Roman" w:eastAsia="PalatinoLinotype-Roman"/>
          <w:i/>
          <w:iCs/>
          <w:color w:val="0E0F25"/>
        </w:rPr>
        <w:t xml:space="preserve">------ </w:t>
      </w:r>
      <w:r>
        <w:rPr>
          <w:rFonts w:cs="PalatinoLinotype-Roman" w:eastAsia="PalatinoLinotype-Roman"/>
          <w:color w:val="0E0F25"/>
        </w:rPr>
        <w:t xml:space="preserve">(1948) </w:t>
      </w:r>
      <w:r>
        <w:rPr>
          <w:rFonts w:cs="Verdana" w:eastAsia="Verdana"/>
          <w:i/>
          <w:iCs/>
        </w:rPr>
        <w:t>Der shnayder-gezeln note Manger zingt</w:t>
      </w:r>
      <w:r>
        <w:rPr>
          <w:rFonts w:cs="Verdana" w:eastAsia="Verdana"/>
        </w:rPr>
        <w:t>,</w:t>
      </w:r>
      <w:r>
        <w:rPr>
          <w:rFonts w:cs="PalatinoLinotype-Roman" w:eastAsia="PalatinoLinotype-Roman"/>
          <w:color w:val="0E0F25"/>
        </w:rPr>
        <w:t xml:space="preserve"> London: Ararat.</w:t>
      </w:r>
    </w:p>
    <w:p>
      <w:pPr>
        <w:pStyle w:val="style0"/>
        <w:spacing w:after="100" w:before="0" w:line="200" w:lineRule="atLeast"/>
      </w:pPr>
      <w:r>
        <w:rPr>
          <w:rFonts w:cs="PalatinoLinotype-Roman" w:eastAsia="PalatinoLinotype-Roman"/>
          <w:i/>
          <w:iCs/>
          <w:color w:val="0E0F25"/>
        </w:rPr>
        <w:t xml:space="preserve">------ </w:t>
      </w:r>
      <w:r>
        <w:rPr>
          <w:rFonts w:cs="PalatinoLinotype-Roman" w:eastAsia="PalatinoLinotype-Roman"/>
          <w:color w:val="0E0F25"/>
        </w:rPr>
        <w:t>(1952)</w:t>
      </w:r>
      <w:r>
        <w:rPr>
          <w:rFonts w:cs="PalatinoLinotype-Roman" w:eastAsia="PalatinoLinotype-Roman"/>
          <w:i/>
          <w:iCs/>
          <w:color w:val="0E0F25"/>
        </w:rPr>
        <w:t xml:space="preserve"> Medresh Itsik, </w:t>
      </w:r>
      <w:r>
        <w:rPr>
          <w:rFonts w:cs="PalatinoLinotype-Roman" w:eastAsia="PalatinoLinotype-Roman"/>
          <w:color w:val="0E0F25"/>
        </w:rPr>
        <w:t>Pariz/Geneva: Itsik Manger Yoyvl Komitet.</w:t>
      </w:r>
    </w:p>
    <w:p>
      <w:pPr>
        <w:pStyle w:val="style0"/>
        <w:spacing w:line="200" w:lineRule="atLeast"/>
      </w:pPr>
      <w:r>
        <w:rPr/>
      </w:r>
    </w:p>
    <w:p>
      <w:pPr>
        <w:pStyle w:val="style0"/>
        <w:spacing w:line="100" w:lineRule="atLeast"/>
      </w:pPr>
      <w:r>
        <w:rPr/>
      </w:r>
    </w:p>
    <w:p>
      <w:pPr>
        <w:pStyle w:val="style0"/>
        <w:spacing w:line="100" w:lineRule="atLeast"/>
      </w:pPr>
      <w:r>
        <w:rPr>
          <w:rFonts w:cs="Helvetica" w:eastAsia="Helvetica"/>
          <w:b/>
          <w:u w:val="single"/>
        </w:rPr>
        <w:t>Bibliographies, references and further reading</w:t>
      </w:r>
    </w:p>
    <w:p>
      <w:pPr>
        <w:pStyle w:val="style0"/>
        <w:spacing w:line="100" w:lineRule="atLeast"/>
      </w:pPr>
      <w:r>
        <w:rPr/>
      </w:r>
    </w:p>
    <w:p>
      <w:pPr>
        <w:pStyle w:val="style0"/>
        <w:spacing w:after="100" w:before="0"/>
      </w:pPr>
      <w:r>
        <w:rPr>
          <w:rFonts w:cs="Verdana" w:eastAsia="Verdana"/>
        </w:rPr>
        <w:t xml:space="preserve">Jeshurin, E. H. (1961) </w:t>
      </w:r>
      <w:r>
        <w:rPr>
          <w:rFonts w:cs="Verdana" w:eastAsia="Verdana"/>
          <w:i/>
          <w:iCs/>
        </w:rPr>
        <w:t xml:space="preserve">Itsik Manger biblyografye </w:t>
      </w:r>
      <w:r>
        <w:rPr>
          <w:rFonts w:cs="Verdana" w:eastAsia="Verdana"/>
        </w:rPr>
        <w:t xml:space="preserve">in: Manger, I. </w:t>
      </w:r>
      <w:r>
        <w:rPr>
          <w:rFonts w:cs="Verdana" w:eastAsia="Verdana"/>
          <w:i/>
          <w:iCs/>
        </w:rPr>
        <w:t>Noente geshtaltn un andere shriftn</w:t>
      </w:r>
      <w:r>
        <w:rPr>
          <w:rFonts w:cs="Verdana" w:eastAsia="Verdana"/>
        </w:rPr>
        <w:t>, New York: Itsik Manger Yoyvl-Komitet.</w:t>
      </w:r>
    </w:p>
    <w:p>
      <w:pPr>
        <w:pStyle w:val="style0"/>
        <w:spacing w:after="100" w:before="0"/>
      </w:pPr>
      <w:r>
        <w:rPr>
          <w:rFonts w:cs="Verdana" w:eastAsia="Verdana"/>
        </w:rPr>
        <w:t xml:space="preserve">Kazdan, H. S. (1968) </w:t>
      </w:r>
      <w:r>
        <w:rPr>
          <w:rFonts w:cs="Verdana" w:eastAsia="Verdana"/>
          <w:i/>
          <w:iCs/>
        </w:rPr>
        <w:t>Itsik Manger</w:t>
      </w:r>
      <w:r>
        <w:rPr>
          <w:rFonts w:cs="Verdana" w:eastAsia="Verdana"/>
        </w:rPr>
        <w:t xml:space="preserve">, New York: </w:t>
      </w:r>
      <w:r>
        <w:rPr>
          <w:rFonts w:cs="Verdana" w:eastAsia="Verdana"/>
          <w:color w:val="1A1A1A"/>
        </w:rPr>
        <w:t>CYCO Bikher-Farlag.</w:t>
      </w:r>
    </w:p>
    <w:p>
      <w:pPr>
        <w:pStyle w:val="style0"/>
        <w:spacing w:after="100" w:before="0"/>
      </w:pPr>
      <w:r>
        <w:rPr>
          <w:rFonts w:cs="Verdana" w:eastAsia="Verdana"/>
        </w:rPr>
        <w:t xml:space="preserve">Roskies D. G., and Wolf, L. (2002) </w:t>
      </w:r>
      <w:r>
        <w:rPr>
          <w:rFonts w:cs="Verdana" w:eastAsia="Verdana"/>
          <w:i/>
          <w:iCs/>
        </w:rPr>
        <w:t xml:space="preserve">The World According to Itzik: Selected Poetry and Prose of Itzik Manger, </w:t>
      </w:r>
      <w:r>
        <w:rPr>
          <w:rFonts w:cs="Verdana" w:eastAsia="Verdana"/>
        </w:rPr>
        <w:t>New Haven</w:t>
      </w:r>
      <w:r>
        <w:rPr>
          <w:rFonts w:cs="Verdana" w:eastAsia="Verdana"/>
          <w:color w:val="1A1A1A"/>
        </w:rPr>
        <w:t>: Yale University Press.</w:t>
      </w:r>
    </w:p>
    <w:p>
      <w:pPr>
        <w:pStyle w:val="style0"/>
        <w:spacing w:after="100" w:before="0"/>
      </w:pPr>
      <w:r>
        <w:rPr>
          <w:rFonts w:cs="Verdana" w:eastAsia="Verdana"/>
        </w:rPr>
        <w:t xml:space="preserve">Shmeruk, Ch. (1984), </w:t>
      </w:r>
      <w:r>
        <w:rPr>
          <w:rFonts w:cs="Verdana" w:eastAsia="Verdana"/>
          <w:i/>
          <w:iCs/>
        </w:rPr>
        <w:t>Medresh Itsik</w:t>
      </w:r>
      <w:r>
        <w:rPr>
          <w:rFonts w:cs="Verdana" w:eastAsia="Verdana"/>
        </w:rPr>
        <w:t xml:space="preserve"> </w:t>
      </w:r>
      <w:r>
        <w:rPr>
          <w:rFonts w:cs="Verdana" w:eastAsia="Verdana"/>
          <w:i/>
          <w:iCs/>
        </w:rPr>
        <w:t xml:space="preserve">and the Problem of Its Literary Traditions, </w:t>
      </w:r>
      <w:r>
        <w:rPr>
          <w:rFonts w:cs="Verdana" w:eastAsia="Verdana"/>
        </w:rPr>
        <w:t>[Introduction</w:t>
      </w:r>
      <w:r>
        <w:rPr>
          <w:rFonts w:cs="Verdana" w:eastAsia="Verdana"/>
          <w:i/>
          <w:iCs/>
        </w:rPr>
        <w:t xml:space="preserve"> </w:t>
      </w:r>
      <w:r>
        <w:rPr>
          <w:rFonts w:cs="Verdana" w:eastAsia="Verdana"/>
        </w:rPr>
        <w:t xml:space="preserve">to Manger, I. </w:t>
      </w:r>
      <w:r>
        <w:rPr>
          <w:rFonts w:cs="Verdana" w:eastAsia="Verdana"/>
          <w:i/>
          <w:iCs/>
        </w:rPr>
        <w:t>Medresh Itsik</w:t>
      </w:r>
      <w:r>
        <w:rPr>
          <w:rFonts w:cs="Verdana" w:eastAsia="Verdana"/>
        </w:rPr>
        <w:t>, 3rd rev. ed.], Jerusalem: Magnes.</w:t>
      </w:r>
    </w:p>
    <w:p>
      <w:pPr>
        <w:pStyle w:val="style0"/>
        <w:spacing w:after="100" w:before="0"/>
      </w:pPr>
      <w:r>
        <w:rPr>
          <w:rFonts w:cs="Verdana" w:eastAsia="Verdana"/>
        </w:rPr>
        <w:t xml:space="preserve">Shpiglblat A. (2002) </w:t>
      </w:r>
      <w:r>
        <w:rPr>
          <w:rFonts w:cs="Verdana" w:eastAsia="Verdana"/>
          <w:i/>
          <w:iCs/>
          <w:color w:val="262626"/>
        </w:rPr>
        <w:t xml:space="preserve">Bloe Vinklen: Itsik Manger </w:t>
      </w:r>
      <w:r>
        <w:rPr>
          <w:rFonts w:cs="ArialMT" w:eastAsia="ArialMT"/>
          <w:color w:val="262626"/>
        </w:rPr>
        <w:t>–</w:t>
      </w:r>
      <w:r>
        <w:rPr>
          <w:rFonts w:cs="ArialMT" w:eastAsia="ArialMT"/>
          <w:i/>
          <w:iCs/>
          <w:color w:val="262626"/>
        </w:rPr>
        <w:t xml:space="preserve"> Lebn, Lid un Balade,</w:t>
      </w:r>
      <w:r>
        <w:rPr>
          <w:rFonts w:cs="ArialMT" w:eastAsia="ArialMT"/>
          <w:color w:val="262626"/>
        </w:rPr>
        <w:t xml:space="preserve"> Tel Aviv: Y.L. Perets. </w:t>
      </w:r>
    </w:p>
    <w:p>
      <w:pPr>
        <w:pStyle w:val="style0"/>
        <w:spacing w:line="100" w:lineRule="atLeast"/>
      </w:pPr>
      <w:bookmarkStart w:id="3" w:name="__DdeLink__8635_10311601841"/>
      <w:bookmarkStart w:id="4" w:name="move2609607241"/>
      <w:bookmarkStart w:id="5" w:name="__DdeLink__8635_10311601841"/>
      <w:bookmarkStart w:id="6" w:name="move2609607241"/>
      <w:bookmarkEnd w:id="5"/>
      <w:bookmarkEnd w:id="6"/>
      <w:r>
        <w:rPr/>
      </w:r>
    </w:p>
    <w:p>
      <w:pPr>
        <w:pStyle w:val="style0"/>
        <w:spacing w:line="100" w:lineRule="atLeast"/>
      </w:pPr>
      <w:r>
        <w:rPr/>
      </w:r>
    </w:p>
    <w:p>
      <w:pPr>
        <w:pStyle w:val="style0"/>
        <w:spacing w:line="100" w:lineRule="atLeast"/>
      </w:pPr>
      <w:r>
        <w:rPr>
          <w:rFonts w:cs="Times New Roman"/>
          <w:b/>
          <w:u w:val="single"/>
        </w:rPr>
        <w:t xml:space="preserve">Recommended Illustrations </w:t>
      </w:r>
    </w:p>
    <w:p>
      <w:pPr>
        <w:pStyle w:val="style0"/>
        <w:spacing w:line="100" w:lineRule="atLeast"/>
      </w:pPr>
      <w:r>
        <w:rPr/>
      </w:r>
    </w:p>
    <w:p>
      <w:pPr>
        <w:pStyle w:val="style0"/>
        <w:spacing w:line="100" w:lineRule="atLeast"/>
      </w:pPr>
      <w:r>
        <w:rPr>
          <w:rFonts w:cs="Times New Roman"/>
        </w:rPr>
        <w:t>[</w:t>
      </w:r>
      <w:r>
        <w:rPr>
          <w:rFonts w:cs="Times New Roman"/>
          <w:color w:val="000000"/>
        </w:rPr>
        <w:t xml:space="preserve">Available at: </w:t>
      </w:r>
      <w:r>
        <w:rPr>
          <w:rFonts w:cs="Helvetica" w:eastAsia="Helvetica"/>
        </w:rPr>
        <w:t>http://www.eilatgordinlevitan.com/warsaw/w_pix/stories/030707_08_b.gif</w:t>
      </w:r>
      <w:r>
        <w:rPr>
          <w:rFonts w:cs="Times New Roman" w:eastAsia="Helvetica"/>
          <w:color w:val="000000"/>
        </w:rPr>
        <w:t>]</w:t>
      </w:r>
    </w:p>
    <w:p>
      <w:pPr>
        <w:pStyle w:val="style0"/>
        <w:spacing w:line="100" w:lineRule="atLeast"/>
      </w:pPr>
      <w:r>
        <w:rPr/>
      </w:r>
    </w:p>
    <w:p>
      <w:pPr>
        <w:pStyle w:val="style0"/>
        <w:spacing w:line="100" w:lineRule="atLeast"/>
      </w:pPr>
      <w:r>
        <w:rPr/>
        <w:drawing>
          <wp:anchor allowOverlap="1" behindDoc="0" distB="0" distL="0" distR="0" distT="0" layoutInCell="1" locked="0" relativeHeight="0" simplePos="0">
            <wp:simplePos x="0" y="0"/>
            <wp:positionH relativeFrom="character">
              <wp:posOffset>1544320</wp:posOffset>
            </wp:positionH>
            <wp:positionV relativeFrom="line">
              <wp:posOffset>0</wp:posOffset>
            </wp:positionV>
            <wp:extent cx="3032125" cy="40335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32125" cy="4033520"/>
                    </a:xfrm>
                    <a:prstGeom prst="rect">
                      <a:avLst/>
                    </a:prstGeom>
                    <a:noFill/>
                    <a:ln w="9525">
                      <a:noFill/>
                      <a:miter lim="800000"/>
                      <a:headEnd/>
                      <a:tailEnd/>
                    </a:ln>
                  </pic:spPr>
                </pic:pic>
              </a:graphicData>
            </a:graphic>
          </wp:anchor>
        </w:drawing>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Domyślnie"/>
    <w:next w:val="style0"/>
    <w:pPr>
      <w:widowControl w:val="false"/>
      <w:tabs>
        <w:tab w:leader="none" w:pos="709" w:val="left"/>
      </w:tabs>
      <w:suppressAutoHyphens w:val="true"/>
    </w:pPr>
    <w:rPr>
      <w:rFonts w:ascii="Times New Roman" w:cs="Tahoma" w:eastAsia="SimSun" w:hAnsi="Times New Roman"/>
      <w:color w:val="00000A"/>
      <w:sz w:val="24"/>
      <w:szCs w:val="24"/>
      <w:lang w:bidi="yi-US" w:eastAsia="zh-CN" w:val="pl-PL"/>
    </w:rPr>
  </w:style>
  <w:style w:styleId="style15" w:type="paragraph">
    <w:name w:val="Nagłówek"/>
    <w:basedOn w:val="style0"/>
    <w:next w:val="style16"/>
    <w:pPr>
      <w:keepNext/>
      <w:spacing w:after="120" w:before="240"/>
    </w:pPr>
    <w:rPr>
      <w:rFonts w:ascii="Arial" w:cs="Tahoma" w:eastAsia="SimSun" w:hAnsi="Arial"/>
      <w:sz w:val="28"/>
      <w:szCs w:val="28"/>
    </w:rPr>
  </w:style>
  <w:style w:styleId="style16" w:type="paragraph">
    <w:name w:val="Treść tekstu"/>
    <w:basedOn w:val="style0"/>
    <w:next w:val="style16"/>
    <w:pPr>
      <w:spacing w:after="120" w:before="0"/>
    </w:pPr>
    <w:rPr/>
  </w:style>
  <w:style w:styleId="style17" w:type="paragraph">
    <w:name w:val="Lista"/>
    <w:basedOn w:val="style16"/>
    <w:next w:val="style17"/>
    <w:pPr/>
    <w:rPr>
      <w:rFonts w:cs="Tahoma"/>
    </w:rPr>
  </w:style>
  <w:style w:styleId="style18" w:type="paragraph">
    <w:name w:val="Podpis"/>
    <w:basedOn w:val="style0"/>
    <w:next w:val="style18"/>
    <w:pPr>
      <w:suppressLineNumbers/>
      <w:spacing w:after="120" w:before="120"/>
    </w:pPr>
    <w:rPr>
      <w:rFonts w:cs="Tahoma"/>
      <w:i/>
      <w:iCs/>
      <w:sz w:val="24"/>
      <w:szCs w:val="24"/>
    </w:rPr>
  </w:style>
  <w:style w:styleId="style19" w:type="paragraph">
    <w:name w:val="Indeks"/>
    <w:basedOn w:val="style0"/>
    <w:next w:val="style19"/>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2014-05-06T16:34:01.00Z</dcterms:created>
  <cp:revision>0</cp:revision>
</cp:coreProperties>
</file>