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910AA7CC6B3C047B27DB4D57A69E25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1CDA06753E8C443A701BF19D74361B9"/>
            </w:placeholder>
            <w:text/>
          </w:sdtPr>
          <w:sdtContent>
            <w:tc>
              <w:tcPr>
                <w:tcW w:w="2073" w:type="dxa"/>
              </w:tcPr>
              <w:p w:rsidR="00B574C9" w:rsidRDefault="00902C02" w:rsidP="00902C02">
                <w:proofErr w:type="spellStart"/>
                <w:r w:rsidRPr="00D72475"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w:t>Fionna</w:t>
                </w:r>
                <w:proofErr w:type="spellEnd"/>
                <w:r w:rsidRPr="00D72475"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F5B16ADEA392145AA7ABDC54EE9E38A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2ADE102C9FC9B458E2503E8955E3B95"/>
            </w:placeholder>
            <w:text/>
          </w:sdtPr>
          <w:sdtContent>
            <w:tc>
              <w:tcPr>
                <w:tcW w:w="2642" w:type="dxa"/>
              </w:tcPr>
              <w:p w:rsidR="00B574C9" w:rsidRDefault="00902C02" w:rsidP="00922950">
                <w:r w:rsidRPr="007144C9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Barber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3DDE6D09C06814F98147027665860A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AA5FA85AC2A2247B7DC9110A940927D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bookmarkStart w:id="0" w:name="_GoBack" w:displacedByCustomXml="next"/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9689FB71C17B042991A6108A962121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02C02" w:rsidP="003F0D73">
                <w:pPr>
                  <w:rPr>
                    <w:b/>
                  </w:rPr>
                </w:pPr>
                <w:proofErr w:type="gramStart"/>
                <w:r w:rsidRPr="0069068F"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w:t>le</w:t>
                </w:r>
                <w:proofErr w:type="gramEnd"/>
                <w:r w:rsidRPr="0069068F"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69068F"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w:t>Brocquy</w:t>
                </w:r>
                <w:proofErr w:type="spellEnd"/>
                <w:r w:rsidRPr="0069068F"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w:t>,  Louis (1916-2012)</w:t>
                </w:r>
              </w:p>
            </w:tc>
          </w:sdtContent>
        </w:sdt>
        <w:bookmarkEnd w:id="0" w:displacedByCustomXml="prev"/>
      </w:tr>
      <w:tr w:rsidR="00464699" w:rsidTr="00902C02">
        <w:sdt>
          <w:sdtPr>
            <w:alias w:val="Variant headwords"/>
            <w:tag w:val="variantHeadwords"/>
            <w:id w:val="173464402"/>
            <w:placeholder>
              <w:docPart w:val="62BED062B1BA1D44B0BEC031BC34410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7033B8CA91B864AAF29CCAD7BBA8C8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902C02" w:rsidP="00E85A05">
                <w:r w:rsidRPr="000721C3">
                  <w:rPr>
                    <w:rFonts w:ascii="Times New Roman" w:hAnsi="Times New Roman" w:cs="Times New Roman"/>
                  </w:rPr>
                  <w:t xml:space="preserve">Born in Dublin, Louis le </w:t>
                </w:r>
                <w:proofErr w:type="spellStart"/>
                <w:r w:rsidRPr="000721C3">
                  <w:rPr>
                    <w:rFonts w:ascii="Times New Roman" w:hAnsi="Times New Roman" w:cs="Times New Roman"/>
                  </w:rPr>
                  <w:t>Brocquy</w:t>
                </w:r>
                <w:proofErr w:type="spellEnd"/>
                <w:r w:rsidRPr="000721C3">
                  <w:rPr>
                    <w:rFonts w:ascii="Times New Roman" w:hAnsi="Times New Roman" w:cs="Times New Roman"/>
                  </w:rPr>
                  <w:t xml:space="preserve"> became one of the most significant figures in Irish twentieth century art. After a major role in the organisation of the Irish Living Art Exhibition in 1943, he moved to London where he was active in the contemporary art scene.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481D0C4E51B0064583041E6CC82AF99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902C02" w:rsidRPr="000721C3" w:rsidRDefault="00902C02" w:rsidP="00902C02">
                <w:pPr>
                  <w:rPr>
                    <w:rFonts w:ascii="Times New Roman" w:hAnsi="Times New Roman" w:cs="Times New Roman"/>
                  </w:rPr>
                </w:pPr>
                <w:r w:rsidRPr="000721C3">
                  <w:rPr>
                    <w:rFonts w:ascii="Times New Roman" w:hAnsi="Times New Roman" w:cs="Times New Roman"/>
                  </w:rPr>
                  <w:t xml:space="preserve">Born in Dublin, Louis le </w:t>
                </w:r>
                <w:proofErr w:type="spellStart"/>
                <w:r w:rsidRPr="000721C3">
                  <w:rPr>
                    <w:rFonts w:ascii="Times New Roman" w:hAnsi="Times New Roman" w:cs="Times New Roman"/>
                  </w:rPr>
                  <w:t>Brocquy</w:t>
                </w:r>
                <w:proofErr w:type="spellEnd"/>
                <w:r w:rsidRPr="000721C3">
                  <w:rPr>
                    <w:rFonts w:ascii="Times New Roman" w:hAnsi="Times New Roman" w:cs="Times New Roman"/>
                  </w:rPr>
                  <w:t xml:space="preserve"> became one of the most significant figures in Irish twentieth century art. After a major role in the organisation of the Irish Living Art Exhibition in 1943, he moved to London where he was active in the contemporary art scene. In 1958, le </w:t>
                </w:r>
                <w:proofErr w:type="spellStart"/>
                <w:r w:rsidRPr="000721C3">
                  <w:rPr>
                    <w:rFonts w:ascii="Times New Roman" w:hAnsi="Times New Roman" w:cs="Times New Roman"/>
                  </w:rPr>
                  <w:t>Brocquy</w:t>
                </w:r>
                <w:proofErr w:type="spellEnd"/>
                <w:r w:rsidRPr="000721C3">
                  <w:rPr>
                    <w:rFonts w:ascii="Times New Roman" w:hAnsi="Times New Roman" w:cs="Times New Roman"/>
                  </w:rPr>
                  <w:t xml:space="preserve"> moved to the South of France with his wife, the painter Ann Madden, remaining there until their return to Dublin in 2000. His painting </w:t>
                </w:r>
                <w:r w:rsidRPr="000721C3">
                  <w:rPr>
                    <w:rFonts w:ascii="Times New Roman" w:hAnsi="Times New Roman" w:cs="Times New Roman"/>
                    <w:i/>
                  </w:rPr>
                  <w:t xml:space="preserve">A Family </w:t>
                </w:r>
                <w:r w:rsidRPr="000721C3">
                  <w:rPr>
                    <w:rFonts w:ascii="Times New Roman" w:hAnsi="Times New Roman" w:cs="Times New Roman"/>
                  </w:rPr>
                  <w:t xml:space="preserve">(1951) won the </w:t>
                </w:r>
                <w:proofErr w:type="spellStart"/>
                <w:r w:rsidRPr="000721C3">
                  <w:rPr>
                    <w:rFonts w:ascii="Times New Roman" w:hAnsi="Times New Roman" w:cs="Times New Roman"/>
                  </w:rPr>
                  <w:t>Prealpina</w:t>
                </w:r>
                <w:proofErr w:type="spellEnd"/>
                <w:r w:rsidRPr="000721C3">
                  <w:rPr>
                    <w:rFonts w:ascii="Times New Roman" w:hAnsi="Times New Roman" w:cs="Times New Roman"/>
                  </w:rPr>
                  <w:t xml:space="preserve"> Painting Prize at the Venice Biennale in 1958</w:t>
                </w:r>
                <w:proofErr w:type="gramStart"/>
                <w:r w:rsidRPr="000721C3">
                  <w:rPr>
                    <w:rFonts w:ascii="Times New Roman" w:hAnsi="Times New Roman" w:cs="Times New Roman"/>
                  </w:rPr>
                  <w:t>;</w:t>
                </w:r>
                <w:proofErr w:type="gramEnd"/>
                <w:r w:rsidRPr="000721C3">
                  <w:rPr>
                    <w:rFonts w:ascii="Times New Roman" w:hAnsi="Times New Roman" w:cs="Times New Roman"/>
                  </w:rPr>
                  <w:t xml:space="preserve"> after having been rejected by the Hugh Lane Gallery in Dublin in the 1950s, it finally entered the collection of the National Gallery of Ireland in 2000. </w:t>
                </w:r>
                <w:r w:rsidRPr="000721C3">
                  <w:rPr>
                    <w:rFonts w:ascii="Times New Roman" w:hAnsi="Times New Roman" w:cs="Times New Roman"/>
                    <w:i/>
                  </w:rPr>
                  <w:t xml:space="preserve">A Family </w:t>
                </w:r>
                <w:r w:rsidRPr="000721C3">
                  <w:rPr>
                    <w:rFonts w:ascii="Times New Roman" w:hAnsi="Times New Roman" w:cs="Times New Roman"/>
                  </w:rPr>
                  <w:t xml:space="preserve">addresses Cold War anxieties through a reading of both Picasso and </w:t>
                </w:r>
                <w:proofErr w:type="spellStart"/>
                <w:r w:rsidRPr="000721C3">
                  <w:rPr>
                    <w:rFonts w:ascii="Times New Roman" w:hAnsi="Times New Roman" w:cs="Times New Roman"/>
                  </w:rPr>
                  <w:t>Manet</w:t>
                </w:r>
                <w:proofErr w:type="spellEnd"/>
                <w:r w:rsidRPr="000721C3">
                  <w:rPr>
                    <w:rFonts w:ascii="Times New Roman" w:hAnsi="Times New Roman" w:cs="Times New Roman"/>
                  </w:rPr>
                  <w:t xml:space="preserve">; the </w:t>
                </w:r>
                <w:r w:rsidRPr="000721C3">
                  <w:rPr>
                    <w:rFonts w:ascii="Times New Roman" w:hAnsi="Times New Roman" w:cs="Times New Roman"/>
                    <w:i/>
                  </w:rPr>
                  <w:t xml:space="preserve">Presences </w:t>
                </w:r>
                <w:r w:rsidRPr="000721C3">
                  <w:rPr>
                    <w:rFonts w:ascii="Times New Roman" w:hAnsi="Times New Roman" w:cs="Times New Roman"/>
                  </w:rPr>
                  <w:t>series</w:t>
                </w:r>
                <w:r w:rsidRPr="000721C3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Pr="000721C3">
                  <w:rPr>
                    <w:rFonts w:ascii="Times New Roman" w:hAnsi="Times New Roman" w:cs="Times New Roman"/>
                  </w:rPr>
                  <w:t>(1954-1964) examined the female body through a visual language close to the French Inform (</w:t>
                </w:r>
                <w:proofErr w:type="spellStart"/>
                <w:r w:rsidRPr="000721C3">
                  <w:rPr>
                    <w:rFonts w:ascii="Times New Roman" w:hAnsi="Times New Roman" w:cs="Times New Roman"/>
                  </w:rPr>
                  <w:t>l’Informe</w:t>
                </w:r>
                <w:proofErr w:type="spellEnd"/>
                <w:r w:rsidRPr="000721C3">
                  <w:rPr>
                    <w:rFonts w:ascii="Times New Roman" w:hAnsi="Times New Roman" w:cs="Times New Roman"/>
                  </w:rPr>
                  <w:t xml:space="preserve">). However, a significant theme in le </w:t>
                </w:r>
                <w:proofErr w:type="spellStart"/>
                <w:r w:rsidRPr="000721C3">
                  <w:rPr>
                    <w:rFonts w:ascii="Times New Roman" w:hAnsi="Times New Roman" w:cs="Times New Roman"/>
                  </w:rPr>
                  <w:t>Brocquy’s</w:t>
                </w:r>
                <w:proofErr w:type="spellEnd"/>
                <w:r w:rsidRPr="000721C3">
                  <w:rPr>
                    <w:rFonts w:ascii="Times New Roman" w:hAnsi="Times New Roman" w:cs="Times New Roman"/>
                  </w:rPr>
                  <w:t xml:space="preserve"> work from the 1960s onwards utilised the Celtic cult of the head as a basis for studies of modernist artists and writers including Francis Bacon, James Joyce and Federico </w:t>
                </w:r>
                <w:proofErr w:type="spellStart"/>
                <w:r w:rsidRPr="000721C3">
                  <w:rPr>
                    <w:rFonts w:ascii="Times New Roman" w:hAnsi="Times New Roman" w:cs="Times New Roman"/>
                  </w:rPr>
                  <w:t>Garc</w:t>
                </w:r>
                <w:proofErr w:type="spellEnd"/>
                <w:r w:rsidRPr="000721C3">
                  <w:rPr>
                    <w:rFonts w:ascii="Times New Roman" w:hAnsi="Times New Roman" w:cs="Times New Roman"/>
                    <w:bCs/>
                    <w:lang w:val="en-US"/>
                  </w:rPr>
                  <w:t>í</w:t>
                </w:r>
                <w:r w:rsidRPr="000721C3">
                  <w:rPr>
                    <w:rFonts w:ascii="Times New Roman" w:hAnsi="Times New Roman" w:cs="Times New Roman"/>
                  </w:rPr>
                  <w:t>a Lorca, thus firmly located Irish identity within the wider context of European modernism.</w:t>
                </w:r>
              </w:p>
              <w:p w:rsidR="00902C02" w:rsidRDefault="00902C02" w:rsidP="00C27FAB"/>
              <w:p w:rsidR="00902C02" w:rsidRDefault="00902C02" w:rsidP="00902C02">
                <w:pPr>
                  <w:keepNext/>
                </w:pPr>
                <w:r>
                  <w:t xml:space="preserve">File: </w:t>
                </w:r>
                <w:r w:rsidRPr="00902C02">
                  <w:t xml:space="preserve">Louis le </w:t>
                </w:r>
                <w:proofErr w:type="spellStart"/>
                <w:r w:rsidRPr="00902C02">
                  <w:t>Brocquy</w:t>
                </w:r>
                <w:proofErr w:type="spellEnd"/>
                <w:r w:rsidRPr="00902C02">
                  <w:t xml:space="preserve"> A Family 1951</w:t>
                </w:r>
                <w:r>
                  <w:t>.png</w:t>
                </w:r>
              </w:p>
              <w:p w:rsidR="00902C02" w:rsidRDefault="00902C02" w:rsidP="00902C02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 w:rsidRPr="00902C02">
                  <w:t xml:space="preserve"> Louis le </w:t>
                </w:r>
                <w:proofErr w:type="spellStart"/>
                <w:r w:rsidRPr="00902C02">
                  <w:t>Brocquy</w:t>
                </w:r>
                <w:proofErr w:type="spellEnd"/>
                <w:r w:rsidRPr="00902C02">
                  <w:t xml:space="preserve"> A Family</w:t>
                </w:r>
                <w:r>
                  <w:t>, 1951</w:t>
                </w:r>
              </w:p>
              <w:p w:rsidR="00902C02" w:rsidRDefault="00902C02" w:rsidP="00C27FAB">
                <w:r>
                  <w:t xml:space="preserve">Source: </w:t>
                </w:r>
                <w:hyperlink r:id="rId9" w:history="1">
                  <w:r w:rsidRPr="000721C3">
                    <w:rPr>
                      <w:rStyle w:val="Hyperlink"/>
                      <w:rFonts w:ascii="Times New Roman" w:hAnsi="Times New Roman" w:cs="Times New Roman"/>
                    </w:rPr>
                    <w:t>http://www.nationalgallery.ie/en/Collection/Irelands_Favourite_Painting/Final_brocquy.aspx</w:t>
                  </w:r>
                </w:hyperlink>
              </w:p>
              <w:p w:rsidR="00902C02" w:rsidRDefault="00902C02" w:rsidP="00C27FAB"/>
              <w:p w:rsidR="00902C02" w:rsidRDefault="00902C02" w:rsidP="00C27FAB"/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E8BFDFC0F4B97499FCFAE75758BA2C0"/>
              </w:placeholder>
            </w:sdtPr>
            <w:sdtEndPr>
              <w:rPr>
                <w:rFonts w:asciiTheme="minorHAnsi" w:eastAsiaTheme="minorHAnsi" w:hAnsiTheme="minorHAnsi" w:cstheme="minorBidi"/>
                <w:sz w:val="22"/>
                <w:szCs w:val="22"/>
              </w:rPr>
            </w:sdtEndPr>
            <w:sdtContent>
              <w:p w:rsidR="00902C02" w:rsidRPr="000721C3" w:rsidRDefault="00902C02" w:rsidP="00902C02">
                <w:pPr>
                  <w:pStyle w:val="EndnoteText"/>
                  <w:rPr>
                    <w:rFonts w:ascii="Times New Roman" w:hAnsi="Times New Roman"/>
                  </w:rPr>
                </w:pPr>
                <w:sdt>
                  <w:sdtPr>
                    <w:id w:val="-47993022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instrText xml:space="preserve"> CITATION Cou081 \l 1033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Pr="00902C02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>(Coulter)</w:t>
                    </w:r>
                    <w:r>
                      <w:fldChar w:fldCharType="end"/>
                    </w:r>
                  </w:sdtContent>
                </w:sdt>
              </w:p>
              <w:p w:rsidR="00902C02" w:rsidRPr="000721C3" w:rsidRDefault="00902C02" w:rsidP="00902C02">
                <w:pPr>
                  <w:pStyle w:val="EndnoteText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637074507"/>
                    <w:citation/>
                  </w:sdtPr>
                  <w:sdtContent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instrText xml:space="preserve"> CITATION Ken05 \l 1033 </w:instrTex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Pr="00902C02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>(Kennedy)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:rsidR="00902C02" w:rsidRPr="000721C3" w:rsidRDefault="00902C02" w:rsidP="00902C02">
                <w:pPr>
                  <w:pStyle w:val="EndnoteText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43564822"/>
                    <w:citation/>
                  </w:sdtPr>
                  <w:sdtContent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eastAsia="Times New Roman" w:hAnsi="Times New Roman"/>
                        <w:sz w:val="24"/>
                        <w:szCs w:val="24"/>
                        <w:lang w:val="en-US"/>
                      </w:rPr>
                      <w:instrText xml:space="preserve"> CITATION LeB06 \l 1033 </w:instrTex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Pr="00902C02">
                      <w:rPr>
                        <w:rFonts w:ascii="Times New Roman" w:eastAsia="Times New Roman" w:hAnsi="Times New Roman"/>
                        <w:noProof/>
                        <w:sz w:val="24"/>
                        <w:szCs w:val="24"/>
                        <w:lang w:val="en-US"/>
                      </w:rPr>
                      <w:t>(Le Brocquy)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:rsidR="00902C02" w:rsidRPr="000721C3" w:rsidRDefault="00902C02" w:rsidP="00902C02">
                <w:pPr>
                  <w:pStyle w:val="EndnoteText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id w:val="311456298"/>
                    <w:citation/>
                  </w:sdtPr>
                  <w:sdtContent>
                    <w:r>
                      <w:rPr>
                        <w:rFonts w:ascii="Times New Roman" w:eastAsia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instrText xml:space="preserve"> CITATION Mad94 \l 1033 </w:instrText>
                    </w:r>
                    <w:r>
                      <w:rPr>
                        <w:rFonts w:ascii="Times New Roman" w:eastAsia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Pr="00902C02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>(Madden le Brocquy)</w:t>
                    </w:r>
                    <w:r>
                      <w:rPr>
                        <w:rFonts w:ascii="Times New Roman" w:eastAsia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:rsidR="00902C02" w:rsidRPr="000721C3" w:rsidRDefault="00902C02" w:rsidP="00902C02">
                <w:pPr>
                  <w:pStyle w:val="EndnoteText"/>
                  <w:rPr>
                    <w:rFonts w:ascii="Times New Roman" w:hAnsi="Times New Roman"/>
                    <w:i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id w:val="1312756862"/>
                    <w:citation/>
                  </w:sdtPr>
                  <w:sdtContent>
                    <w:r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instrText xml:space="preserve"> CITATION Smi96 \l 1033 </w:instrText>
                    </w:r>
                    <w:r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fldChar w:fldCharType="separate"/>
                    </w:r>
                    <w:r w:rsidRPr="00902C02">
                      <w:rPr>
                        <w:rFonts w:ascii="Times New Roman" w:hAnsi="Times New Roman"/>
                        <w:noProof/>
                        <w:sz w:val="24"/>
                        <w:szCs w:val="24"/>
                        <w:lang w:val="en-US"/>
                      </w:rPr>
                      <w:t>(Smith)</w:t>
                    </w:r>
                    <w:r>
                      <w:rPr>
                        <w:rFonts w:ascii="Times New Roman" w:hAnsi="Times New Roman"/>
                        <w:i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:rsidR="00902C02" w:rsidRPr="000721C3" w:rsidRDefault="00902C02" w:rsidP="00902C02">
                <w:pPr>
                  <w:spacing w:before="100" w:beforeAutospacing="1" w:after="100" w:afterAutospacing="1"/>
                  <w:outlineLvl w:val="0"/>
                  <w:rPr>
                    <w:rFonts w:ascii="Times New Roman" w:eastAsia="Times New Roman" w:hAnsi="Times New Roman" w:cs="Times New Roman"/>
                    <w:bCs/>
                    <w:i/>
                    <w:kern w:val="36"/>
                  </w:rPr>
                </w:pPr>
              </w:p>
              <w:p w:rsidR="003235A7" w:rsidRDefault="00902C02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C02" w:rsidRDefault="00902C02" w:rsidP="007A0D55">
      <w:pPr>
        <w:spacing w:after="0" w:line="240" w:lineRule="auto"/>
      </w:pPr>
      <w:r>
        <w:separator/>
      </w:r>
    </w:p>
  </w:endnote>
  <w:endnote w:type="continuationSeparator" w:id="0">
    <w:p w:rsidR="00902C02" w:rsidRDefault="00902C0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C02" w:rsidRDefault="00902C02" w:rsidP="007A0D55">
      <w:pPr>
        <w:spacing w:after="0" w:line="240" w:lineRule="auto"/>
      </w:pPr>
      <w:r>
        <w:separator/>
      </w:r>
    </w:p>
  </w:footnote>
  <w:footnote w:type="continuationSeparator" w:id="0">
    <w:p w:rsidR="00902C02" w:rsidRDefault="00902C0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C02" w:rsidRDefault="00902C0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902C02" w:rsidRDefault="00902C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C0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2C02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endnote text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02C0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C02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semiHidden/>
    <w:rsid w:val="00902C0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02C02"/>
    <w:rPr>
      <w:rFonts w:ascii="Calibri" w:eastAsia="Calibri" w:hAnsi="Calibri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2C0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02C0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endnote text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02C0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C02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semiHidden/>
    <w:rsid w:val="00902C0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02C02"/>
    <w:rPr>
      <w:rFonts w:ascii="Calibri" w:eastAsia="Calibri" w:hAnsi="Calibri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2C0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02C0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nationalgallery.ie/en/Collection/Irelands_Favourite_Painting/Final_brocquy.aspx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10AA7CC6B3C047B27DB4D57A69E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CBBCC-667C-824F-9D48-889C5AF2B463}"/>
      </w:docPartPr>
      <w:docPartBody>
        <w:p w:rsidR="00000000" w:rsidRDefault="004E117A">
          <w:pPr>
            <w:pStyle w:val="7910AA7CC6B3C047B27DB4D57A69E25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1CDA06753E8C443A701BF19D7436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EA68C-6E96-8942-832C-19EBD088F150}"/>
      </w:docPartPr>
      <w:docPartBody>
        <w:p w:rsidR="00000000" w:rsidRDefault="004E117A">
          <w:pPr>
            <w:pStyle w:val="F1CDA06753E8C443A701BF19D74361B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F5B16ADEA392145AA7ABDC54EE9E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175DE-E46C-514F-BED7-6EA1752BADF9}"/>
      </w:docPartPr>
      <w:docPartBody>
        <w:p w:rsidR="00000000" w:rsidRDefault="004E117A">
          <w:pPr>
            <w:pStyle w:val="0F5B16ADEA392145AA7ABDC54EE9E38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2ADE102C9FC9B458E2503E8955E3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D6DC7-E950-794D-9A60-A798477B260F}"/>
      </w:docPartPr>
      <w:docPartBody>
        <w:p w:rsidR="00000000" w:rsidRDefault="004E117A">
          <w:pPr>
            <w:pStyle w:val="52ADE102C9FC9B458E2503E8955E3B9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3DDE6D09C06814F9814702766586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FC22D-4AC4-5347-B769-2B6F82CE8D50}"/>
      </w:docPartPr>
      <w:docPartBody>
        <w:p w:rsidR="00000000" w:rsidRDefault="004E117A">
          <w:pPr>
            <w:pStyle w:val="C3DDE6D09C06814F98147027665860A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AA5FA85AC2A2247B7DC9110A9409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997A1-0656-BA47-9949-3A23ACF59BC9}"/>
      </w:docPartPr>
      <w:docPartBody>
        <w:p w:rsidR="00000000" w:rsidRDefault="004E117A">
          <w:pPr>
            <w:pStyle w:val="7AA5FA85AC2A2247B7DC9110A940927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9689FB71C17B042991A6108A9621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947B3-E5F0-8546-B4E8-4D1A51D5E9EB}"/>
      </w:docPartPr>
      <w:docPartBody>
        <w:p w:rsidR="00000000" w:rsidRDefault="004E117A">
          <w:pPr>
            <w:pStyle w:val="99689FB71C17B042991A6108A962121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2BED062B1BA1D44B0BEC031BC344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57105-B082-0041-98D3-E5BBD5ED58D1}"/>
      </w:docPartPr>
      <w:docPartBody>
        <w:p w:rsidR="00000000" w:rsidRDefault="004E117A">
          <w:pPr>
            <w:pStyle w:val="62BED062B1BA1D44B0BEC031BC34410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7033B8CA91B864AAF29CCAD7BBA8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DA57-77C8-AE44-AE23-9E6EDFCC4AD8}"/>
      </w:docPartPr>
      <w:docPartBody>
        <w:p w:rsidR="00000000" w:rsidRDefault="004E117A">
          <w:pPr>
            <w:pStyle w:val="17033B8CA91B864AAF29CCAD7BBA8C8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81D0C4E51B0064583041E6CC82AF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A40F4-E828-BC47-B99C-BA10B023360D}"/>
      </w:docPartPr>
      <w:docPartBody>
        <w:p w:rsidR="00000000" w:rsidRDefault="004E117A">
          <w:pPr>
            <w:pStyle w:val="481D0C4E51B0064583041E6CC82AF99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E8BFDFC0F4B97499FCFAE75758B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0EA85-FDA7-614C-8CB6-BA548B07E26B}"/>
      </w:docPartPr>
      <w:docPartBody>
        <w:p w:rsidR="00000000" w:rsidRDefault="004E117A">
          <w:pPr>
            <w:pStyle w:val="6E8BFDFC0F4B97499FCFAE75758BA2C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10AA7CC6B3C047B27DB4D57A69E252">
    <w:name w:val="7910AA7CC6B3C047B27DB4D57A69E252"/>
  </w:style>
  <w:style w:type="paragraph" w:customStyle="1" w:styleId="F1CDA06753E8C443A701BF19D74361B9">
    <w:name w:val="F1CDA06753E8C443A701BF19D74361B9"/>
  </w:style>
  <w:style w:type="paragraph" w:customStyle="1" w:styleId="0F5B16ADEA392145AA7ABDC54EE9E38A">
    <w:name w:val="0F5B16ADEA392145AA7ABDC54EE9E38A"/>
  </w:style>
  <w:style w:type="paragraph" w:customStyle="1" w:styleId="52ADE102C9FC9B458E2503E8955E3B95">
    <w:name w:val="52ADE102C9FC9B458E2503E8955E3B95"/>
  </w:style>
  <w:style w:type="paragraph" w:customStyle="1" w:styleId="C3DDE6D09C06814F98147027665860AE">
    <w:name w:val="C3DDE6D09C06814F98147027665860AE"/>
  </w:style>
  <w:style w:type="paragraph" w:customStyle="1" w:styleId="7AA5FA85AC2A2247B7DC9110A940927D">
    <w:name w:val="7AA5FA85AC2A2247B7DC9110A940927D"/>
  </w:style>
  <w:style w:type="paragraph" w:customStyle="1" w:styleId="99689FB71C17B042991A6108A9621213">
    <w:name w:val="99689FB71C17B042991A6108A9621213"/>
  </w:style>
  <w:style w:type="paragraph" w:customStyle="1" w:styleId="62BED062B1BA1D44B0BEC031BC344106">
    <w:name w:val="62BED062B1BA1D44B0BEC031BC344106"/>
  </w:style>
  <w:style w:type="paragraph" w:customStyle="1" w:styleId="17033B8CA91B864AAF29CCAD7BBA8C8E">
    <w:name w:val="17033B8CA91B864AAF29CCAD7BBA8C8E"/>
  </w:style>
  <w:style w:type="paragraph" w:customStyle="1" w:styleId="481D0C4E51B0064583041E6CC82AF997">
    <w:name w:val="481D0C4E51B0064583041E6CC82AF997"/>
  </w:style>
  <w:style w:type="paragraph" w:customStyle="1" w:styleId="6E8BFDFC0F4B97499FCFAE75758BA2C0">
    <w:name w:val="6E8BFDFC0F4B97499FCFAE75758BA2C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10AA7CC6B3C047B27DB4D57A69E252">
    <w:name w:val="7910AA7CC6B3C047B27DB4D57A69E252"/>
  </w:style>
  <w:style w:type="paragraph" w:customStyle="1" w:styleId="F1CDA06753E8C443A701BF19D74361B9">
    <w:name w:val="F1CDA06753E8C443A701BF19D74361B9"/>
  </w:style>
  <w:style w:type="paragraph" w:customStyle="1" w:styleId="0F5B16ADEA392145AA7ABDC54EE9E38A">
    <w:name w:val="0F5B16ADEA392145AA7ABDC54EE9E38A"/>
  </w:style>
  <w:style w:type="paragraph" w:customStyle="1" w:styleId="52ADE102C9FC9B458E2503E8955E3B95">
    <w:name w:val="52ADE102C9FC9B458E2503E8955E3B95"/>
  </w:style>
  <w:style w:type="paragraph" w:customStyle="1" w:styleId="C3DDE6D09C06814F98147027665860AE">
    <w:name w:val="C3DDE6D09C06814F98147027665860AE"/>
  </w:style>
  <w:style w:type="paragraph" w:customStyle="1" w:styleId="7AA5FA85AC2A2247B7DC9110A940927D">
    <w:name w:val="7AA5FA85AC2A2247B7DC9110A940927D"/>
  </w:style>
  <w:style w:type="paragraph" w:customStyle="1" w:styleId="99689FB71C17B042991A6108A9621213">
    <w:name w:val="99689FB71C17B042991A6108A9621213"/>
  </w:style>
  <w:style w:type="paragraph" w:customStyle="1" w:styleId="62BED062B1BA1D44B0BEC031BC344106">
    <w:name w:val="62BED062B1BA1D44B0BEC031BC344106"/>
  </w:style>
  <w:style w:type="paragraph" w:customStyle="1" w:styleId="17033B8CA91B864AAF29CCAD7BBA8C8E">
    <w:name w:val="17033B8CA91B864AAF29CCAD7BBA8C8E"/>
  </w:style>
  <w:style w:type="paragraph" w:customStyle="1" w:styleId="481D0C4E51B0064583041E6CC82AF997">
    <w:name w:val="481D0C4E51B0064583041E6CC82AF997"/>
  </w:style>
  <w:style w:type="paragraph" w:customStyle="1" w:styleId="6E8BFDFC0F4B97499FCFAE75758BA2C0">
    <w:name w:val="6E8BFDFC0F4B97499FCFAE75758BA2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Cou081</b:Tag>
    <b:SourceType>JournalArticle</b:SourceType>
    <b:Guid>{854CF70A-EB94-DA4B-9C6C-0A7DDBEF3AF7}</b:Guid>
    <b:Author>
      <b:Author>
        <b:NameList>
          <b:Person>
            <b:Last>Coulter</b:Last>
            <b:First>R</b:First>
          </b:Person>
        </b:NameList>
      </b:Author>
    </b:Author>
    <b:Title>Louis le Brocquy’s Presences, 1954-64: Irish, British or International?</b:Title>
    <b:Year>2008</b:Year>
    <b:Pages>139-156</b:Pages>
    <b:JournalName>The Irish Review</b:JournalName>
    <b:RefOrder>1</b:RefOrder>
  </b:Source>
  <b:Source>
    <b:Tag>Ken05</b:Tag>
    <b:SourceType>JournalArticle</b:SourceType>
    <b:Guid>{B3C04005-AEA2-084C-9555-9FDB773B18F7}</b:Guid>
    <b:Author>
      <b:Author>
        <b:NameList>
          <b:Person>
            <b:Last>Kennedy</b:Last>
            <b:First>R</b:First>
          </b:Person>
        </b:NameList>
      </b:Author>
    </b:Author>
    <b:Title>Made in England: The Critical Reception of Louis le Brocquy’s “A Family”</b:Title>
    <b:JournalName>Third Text</b:JournalName>
    <b:Year>2005</b:Year>
    <b:Pages>475-486</b:Pages>
    <b:RefOrder>2</b:RefOrder>
  </b:Source>
  <b:Source>
    <b:Tag>LeB06</b:Tag>
    <b:SourceType>Book</b:SourceType>
    <b:Guid>{0D7C1EFA-6F9F-C740-91D9-0F2ED5FBC3C1}</b:Guid>
    <b:Author>
      <b:Author>
        <b:NameList>
          <b:Person>
            <b:Last>Le Brocquy</b:Last>
            <b:First>L</b:First>
          </b:Person>
        </b:NameList>
      </b:Author>
    </b:Author>
    <b:Title>The Head Image: Notes on Painting and Awareness</b:Title>
    <b:Publisher>Irish Museum of Modern Art </b:Publisher>
    <b:City>Dublin</b:City>
    <b:Year>2006</b:Year>
    <b:RefOrder>3</b:RefOrder>
  </b:Source>
  <b:Source>
    <b:Tag>Mad94</b:Tag>
    <b:SourceType>Book</b:SourceType>
    <b:Guid>{F97A832F-6EE8-3E47-BCE6-6433A027C6AF}</b:Guid>
    <b:Author>
      <b:Author>
        <b:NameList>
          <b:Person>
            <b:Last>Madden le Brocquy</b:Last>
            <b:First>A</b:First>
          </b:Person>
        </b:NameList>
      </b:Author>
    </b:Author>
    <b:Title> A Painter: Seeing his Way</b:Title>
    <b:City>Dublin</b:City>
    <b:Publisher>Gill and MacMillan </b:Publisher>
    <b:Year>1994</b:Year>
    <b:RefOrder>4</b:RefOrder>
  </b:Source>
  <b:Source>
    <b:Tag>Smi96</b:Tag>
    <b:SourceType>Book</b:SourceType>
    <b:Guid>{4C20F108-1482-C146-9AA1-BD1BB69E460E}</b:Guid>
    <b:Author>
      <b:Author>
        <b:NameList>
          <b:Person>
            <b:Last>Smith</b:Last>
            <b:First>A</b:First>
          </b:Person>
        </b:NameList>
      </b:Author>
    </b:Author>
    <b:Title>Louis le Brocquy:  Paintings 1939-1996 </b:Title>
    <b:City>Dublin</b:City>
    <b:Publisher>Irish Museum of Modern Art </b:Publisher>
    <b:Year>1996</b:Year>
    <b:RefOrder>5</b:RefOrder>
  </b:Source>
</b:Sources>
</file>

<file path=customXml/itemProps1.xml><?xml version="1.0" encoding="utf-8"?>
<ds:datastoreItem xmlns:ds="http://schemas.openxmlformats.org/officeDocument/2006/customXml" ds:itemID="{D33EBCA3-0ACD-9747-B826-16961D84E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334</Words>
  <Characters>1905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2015-10-24T00:09:00Z</dcterms:created>
  <dcterms:modified xsi:type="dcterms:W3CDTF">2015-10-24T01:36:00Z</dcterms:modified>
</cp:coreProperties>
</file>