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6F7B1F" w14:textId="77777777" w:rsidTr="00922950">
        <w:tc>
          <w:tcPr>
            <w:tcW w:w="491" w:type="dxa"/>
            <w:vMerge w:val="restart"/>
            <w:shd w:val="clear" w:color="auto" w:fill="A6A6A6" w:themeFill="background1" w:themeFillShade="A6"/>
            <w:textDirection w:val="btLr"/>
          </w:tcPr>
          <w:p w14:paraId="33281E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CE819EF1A8254780F4F0EE0998DAA4"/>
            </w:placeholder>
            <w:showingPlcHdr/>
            <w:dropDownList>
              <w:listItem w:displayText="Dr." w:value="Dr."/>
              <w:listItem w:displayText="Prof." w:value="Prof."/>
            </w:dropDownList>
          </w:sdtPr>
          <w:sdtEndPr/>
          <w:sdtContent>
            <w:tc>
              <w:tcPr>
                <w:tcW w:w="1259" w:type="dxa"/>
              </w:tcPr>
              <w:p w14:paraId="2522AED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D86264FAC77942B15D91A2E9E47966"/>
            </w:placeholder>
            <w:text/>
          </w:sdtPr>
          <w:sdtEndPr/>
          <w:sdtContent>
            <w:tc>
              <w:tcPr>
                <w:tcW w:w="2073" w:type="dxa"/>
              </w:tcPr>
              <w:p w14:paraId="3E99E650" w14:textId="77777777" w:rsidR="00B574C9" w:rsidRDefault="008E009C" w:rsidP="008E009C">
                <w:proofErr w:type="spellStart"/>
                <w:r w:rsidRPr="00873549">
                  <w:rPr>
                    <w:rFonts w:eastAsiaTheme="minorEastAsia"/>
                    <w:sz w:val="24"/>
                    <w:szCs w:val="24"/>
                    <w:lang w:val="en-US"/>
                  </w:rPr>
                  <w:t>Fouad</w:t>
                </w:r>
                <w:proofErr w:type="spellEnd"/>
                <w:r w:rsidRPr="00873549">
                  <w:rPr>
                    <w:rFonts w:eastAsiaTheme="minorEastAsia"/>
                    <w:sz w:val="24"/>
                    <w:szCs w:val="24"/>
                    <w:lang w:val="en-US"/>
                  </w:rPr>
                  <w:t xml:space="preserve"> </w:t>
                </w:r>
              </w:p>
            </w:tc>
          </w:sdtContent>
        </w:sdt>
        <w:sdt>
          <w:sdtPr>
            <w:alias w:val="Middle name"/>
            <w:tag w:val="authorMiddleName"/>
            <w:id w:val="-2076034781"/>
            <w:placeholder>
              <w:docPart w:val="C649CC853F4EC346A53EA1F914141691"/>
            </w:placeholder>
            <w:showingPlcHdr/>
            <w:text/>
          </w:sdtPr>
          <w:sdtEndPr/>
          <w:sdtContent>
            <w:tc>
              <w:tcPr>
                <w:tcW w:w="2551" w:type="dxa"/>
              </w:tcPr>
              <w:p w14:paraId="31256919" w14:textId="77777777" w:rsidR="00B574C9" w:rsidRDefault="00B574C9" w:rsidP="00922950">
                <w:r>
                  <w:rPr>
                    <w:rStyle w:val="PlaceholderText"/>
                  </w:rPr>
                  <w:t>[Middle name]</w:t>
                </w:r>
              </w:p>
            </w:tc>
          </w:sdtContent>
        </w:sdt>
        <w:sdt>
          <w:sdtPr>
            <w:alias w:val="Last name"/>
            <w:tag w:val="authorLastName"/>
            <w:id w:val="-1088529830"/>
            <w:placeholder>
              <w:docPart w:val="E04064587AD18E439186268F55358BC5"/>
            </w:placeholder>
            <w:text/>
          </w:sdtPr>
          <w:sdtEndPr/>
          <w:sdtContent>
            <w:tc>
              <w:tcPr>
                <w:tcW w:w="2642" w:type="dxa"/>
              </w:tcPr>
              <w:p w14:paraId="033DBC5A" w14:textId="77777777" w:rsidR="00B574C9" w:rsidRDefault="008E009C" w:rsidP="00922950">
                <w:proofErr w:type="spellStart"/>
                <w:r w:rsidRPr="00873549">
                  <w:rPr>
                    <w:rFonts w:eastAsiaTheme="minorEastAsia"/>
                    <w:sz w:val="24"/>
                    <w:szCs w:val="24"/>
                    <w:lang w:val="en-US" w:eastAsia="ja-JP"/>
                  </w:rPr>
                  <w:t>Oveisy</w:t>
                </w:r>
                <w:proofErr w:type="spellEnd"/>
              </w:p>
            </w:tc>
          </w:sdtContent>
        </w:sdt>
      </w:tr>
      <w:tr w:rsidR="00B574C9" w14:paraId="68E9FDC9" w14:textId="77777777" w:rsidTr="001A6A06">
        <w:trPr>
          <w:trHeight w:val="986"/>
        </w:trPr>
        <w:tc>
          <w:tcPr>
            <w:tcW w:w="491" w:type="dxa"/>
            <w:vMerge/>
            <w:shd w:val="clear" w:color="auto" w:fill="A6A6A6" w:themeFill="background1" w:themeFillShade="A6"/>
          </w:tcPr>
          <w:p w14:paraId="39D33778" w14:textId="77777777" w:rsidR="00B574C9" w:rsidRPr="001A6A06" w:rsidRDefault="00B574C9" w:rsidP="00CF1542">
            <w:pPr>
              <w:jc w:val="center"/>
              <w:rPr>
                <w:b/>
                <w:color w:val="FFFFFF" w:themeColor="background1"/>
              </w:rPr>
            </w:pPr>
          </w:p>
        </w:tc>
        <w:sdt>
          <w:sdtPr>
            <w:alias w:val="Biography"/>
            <w:tag w:val="authorBiography"/>
            <w:id w:val="938807824"/>
            <w:placeholder>
              <w:docPart w:val="362E10DCCD45254B82598A5CC29D405C"/>
            </w:placeholder>
            <w:showingPlcHdr/>
          </w:sdtPr>
          <w:sdtEndPr/>
          <w:sdtContent>
            <w:tc>
              <w:tcPr>
                <w:tcW w:w="8525" w:type="dxa"/>
                <w:gridSpan w:val="4"/>
              </w:tcPr>
              <w:p w14:paraId="7703D407" w14:textId="77777777" w:rsidR="00B574C9" w:rsidRDefault="00B574C9" w:rsidP="00922950">
                <w:r>
                  <w:rPr>
                    <w:rStyle w:val="PlaceholderText"/>
                  </w:rPr>
                  <w:t>[Enter your biography]</w:t>
                </w:r>
              </w:p>
            </w:tc>
          </w:sdtContent>
        </w:sdt>
      </w:tr>
      <w:tr w:rsidR="00B574C9" w14:paraId="1B6357F7" w14:textId="77777777" w:rsidTr="001A6A06">
        <w:trPr>
          <w:trHeight w:val="986"/>
        </w:trPr>
        <w:tc>
          <w:tcPr>
            <w:tcW w:w="491" w:type="dxa"/>
            <w:vMerge/>
            <w:shd w:val="clear" w:color="auto" w:fill="A6A6A6" w:themeFill="background1" w:themeFillShade="A6"/>
          </w:tcPr>
          <w:p w14:paraId="73BA01ED" w14:textId="77777777" w:rsidR="00B574C9" w:rsidRPr="001A6A06" w:rsidRDefault="00B574C9" w:rsidP="00CF1542">
            <w:pPr>
              <w:jc w:val="center"/>
              <w:rPr>
                <w:b/>
                <w:color w:val="FFFFFF" w:themeColor="background1"/>
              </w:rPr>
            </w:pPr>
          </w:p>
        </w:tc>
        <w:sdt>
          <w:sdtPr>
            <w:alias w:val="Affiliation"/>
            <w:tag w:val="affiliation"/>
            <w:id w:val="2012937915"/>
            <w:placeholder>
              <w:docPart w:val="A62061ED68B48247990DC4ECDE16044D"/>
            </w:placeholder>
            <w:text/>
          </w:sdtPr>
          <w:sdtEndPr/>
          <w:sdtContent>
            <w:tc>
              <w:tcPr>
                <w:tcW w:w="8525" w:type="dxa"/>
                <w:gridSpan w:val="4"/>
              </w:tcPr>
              <w:p w14:paraId="41E8CF3E" w14:textId="77777777" w:rsidR="00B574C9" w:rsidRDefault="008E009C" w:rsidP="00B574C9">
                <w:r w:rsidRPr="00873549">
                  <w:rPr>
                    <w:rFonts w:eastAsiaTheme="minorEastAsia"/>
                    <w:sz w:val="24"/>
                    <w:szCs w:val="24"/>
                    <w:lang w:val="en-US"/>
                  </w:rPr>
                  <w:t>University of Toronto’s Center for Comparative Literature</w:t>
                </w:r>
              </w:p>
            </w:tc>
          </w:sdtContent>
        </w:sdt>
      </w:tr>
    </w:tbl>
    <w:p w14:paraId="4D325B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681A09" w14:textId="77777777" w:rsidTr="00244BB0">
        <w:tc>
          <w:tcPr>
            <w:tcW w:w="9016" w:type="dxa"/>
            <w:shd w:val="clear" w:color="auto" w:fill="A6A6A6" w:themeFill="background1" w:themeFillShade="A6"/>
            <w:tcMar>
              <w:top w:w="113" w:type="dxa"/>
              <w:bottom w:w="113" w:type="dxa"/>
            </w:tcMar>
          </w:tcPr>
          <w:p w14:paraId="1FEA1D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E4396D" w14:textId="77777777" w:rsidTr="003F0D73">
        <w:sdt>
          <w:sdtPr>
            <w:rPr>
              <w:b/>
            </w:rPr>
            <w:alias w:val="Article headword"/>
            <w:tag w:val="articleHeadword"/>
            <w:id w:val="-361440020"/>
            <w:placeholder>
              <w:docPart w:val="CD5D5EF74E66BA43BF46A49F50702FE0"/>
            </w:placeholder>
            <w:text/>
          </w:sdtPr>
          <w:sdtEndPr/>
          <w:sdtContent>
            <w:tc>
              <w:tcPr>
                <w:tcW w:w="9016" w:type="dxa"/>
                <w:tcMar>
                  <w:top w:w="113" w:type="dxa"/>
                  <w:bottom w:w="113" w:type="dxa"/>
                </w:tcMar>
              </w:tcPr>
              <w:p w14:paraId="7BBBC792" w14:textId="77777777" w:rsidR="003F0D73" w:rsidRPr="00FB589A" w:rsidRDefault="00873549" w:rsidP="00873549">
                <w:pPr>
                  <w:rPr>
                    <w:b/>
                  </w:rPr>
                </w:pPr>
                <w:r w:rsidRPr="00873549">
                  <w:rPr>
                    <w:rFonts w:eastAsiaTheme="minorEastAsia" w:cs="Times New Roman"/>
                    <w:sz w:val="24"/>
                    <w:szCs w:val="24"/>
                    <w:lang w:val="en-US"/>
                  </w:rPr>
                  <w:t xml:space="preserve">Andrei </w:t>
                </w:r>
                <w:proofErr w:type="spellStart"/>
                <w:r w:rsidRPr="00873549">
                  <w:rPr>
                    <w:rFonts w:eastAsiaTheme="minorEastAsia" w:cs="Times New Roman"/>
                    <w:sz w:val="24"/>
                    <w:szCs w:val="24"/>
                    <w:lang w:val="en-US"/>
                  </w:rPr>
                  <w:t>Tarkovsky</w:t>
                </w:r>
                <w:proofErr w:type="spellEnd"/>
                <w:r w:rsidRPr="00873549">
                  <w:rPr>
                    <w:rFonts w:eastAsiaTheme="minorEastAsia" w:cs="Times New Roman"/>
                    <w:sz w:val="24"/>
                    <w:szCs w:val="24"/>
                    <w:lang w:val="en-US"/>
                  </w:rPr>
                  <w:t xml:space="preserve"> (</w:t>
                </w:r>
                <w:r w:rsidR="008E009C" w:rsidRPr="00873549">
                  <w:rPr>
                    <w:rFonts w:eastAsiaTheme="minorEastAsia" w:cs="Times New Roman"/>
                    <w:sz w:val="24"/>
                    <w:szCs w:val="24"/>
                    <w:lang w:val="en-US"/>
                  </w:rPr>
                  <w:t>1943</w:t>
                </w:r>
                <w:r w:rsidRPr="00873549">
                  <w:rPr>
                    <w:rFonts w:eastAsiaTheme="minorEastAsia" w:cs="Times New Roman"/>
                    <w:sz w:val="24"/>
                    <w:szCs w:val="24"/>
                    <w:lang w:val="en-US"/>
                  </w:rPr>
                  <w:t xml:space="preserve"> – 1986</w:t>
                </w:r>
                <w:r w:rsidR="008E009C" w:rsidRPr="00873549">
                  <w:rPr>
                    <w:rFonts w:eastAsiaTheme="minorEastAsia" w:cs="Times New Roman"/>
                    <w:sz w:val="24"/>
                    <w:szCs w:val="24"/>
                    <w:lang w:val="en-US"/>
                  </w:rPr>
                  <w:t>)</w:t>
                </w:r>
              </w:p>
            </w:tc>
          </w:sdtContent>
        </w:sdt>
      </w:tr>
      <w:tr w:rsidR="00464699" w14:paraId="1B52BC42" w14:textId="77777777" w:rsidTr="008E009C">
        <w:sdt>
          <w:sdtPr>
            <w:alias w:val="Variant headwords"/>
            <w:tag w:val="variantHeadwords"/>
            <w:id w:val="173464402"/>
            <w:placeholder>
              <w:docPart w:val="530227BB2BD7C94A98234D60ED3AE933"/>
            </w:placeholder>
            <w:showingPlcHdr/>
          </w:sdtPr>
          <w:sdtEndPr/>
          <w:sdtContent>
            <w:tc>
              <w:tcPr>
                <w:tcW w:w="9016" w:type="dxa"/>
                <w:tcMar>
                  <w:top w:w="113" w:type="dxa"/>
                  <w:bottom w:w="113" w:type="dxa"/>
                </w:tcMar>
              </w:tcPr>
              <w:p w14:paraId="677C018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759982" w14:textId="77777777" w:rsidTr="003F0D73">
        <w:sdt>
          <w:sdtPr>
            <w:alias w:val="Abstract"/>
            <w:tag w:val="abstract"/>
            <w:id w:val="-635871867"/>
            <w:placeholder>
              <w:docPart w:val="5C18D2E23CC3854A919757A31876B3EE"/>
            </w:placeholder>
          </w:sdtPr>
          <w:sdtEndPr/>
          <w:sdtContent>
            <w:tc>
              <w:tcPr>
                <w:tcW w:w="9016" w:type="dxa"/>
                <w:tcMar>
                  <w:top w:w="113" w:type="dxa"/>
                  <w:bottom w:w="113" w:type="dxa"/>
                </w:tcMar>
              </w:tcPr>
              <w:p w14:paraId="500CF642" w14:textId="77777777" w:rsidR="008E009C" w:rsidRPr="00873549" w:rsidRDefault="008E009C" w:rsidP="008E009C">
                <w:pPr>
                  <w:rPr>
                    <w:rFonts w:cs="Times New Roman"/>
                  </w:rPr>
                </w:pPr>
                <w:r w:rsidRPr="00873549">
                  <w:rPr>
                    <w:rFonts w:cs="Times New Roman"/>
                  </w:rPr>
                  <w:t xml:space="preserve">The cinema of Andrei </w:t>
                </w:r>
                <w:proofErr w:type="spellStart"/>
                <w:r w:rsidRPr="00873549">
                  <w:rPr>
                    <w:rFonts w:cs="Times New Roman"/>
                  </w:rPr>
                  <w:t>Tarkovsky</w:t>
                </w:r>
                <w:proofErr w:type="spellEnd"/>
                <w:r w:rsidRPr="00873549">
                  <w:rPr>
                    <w:rFonts w:cs="Times New Roman"/>
                  </w:rPr>
                  <w:t xml:space="preserve"> stands at the zenith of high-modernist cinema. Amongst the many technical achievements that characterize </w:t>
                </w:r>
                <w:proofErr w:type="spellStart"/>
                <w:r w:rsidRPr="00873549">
                  <w:rPr>
                    <w:rFonts w:cs="Times New Roman"/>
                  </w:rPr>
                  <w:t>Tarkovsky’s</w:t>
                </w:r>
                <w:proofErr w:type="spellEnd"/>
                <w:r w:rsidRPr="00873549">
                  <w:rPr>
                    <w:rFonts w:cs="Times New Roman"/>
                  </w:rPr>
                  <w:t xml:space="preserve"> total art approach to cinema, a few stand out: the fragmented and free floating </w:t>
                </w:r>
                <w:proofErr w:type="spellStart"/>
                <w:r w:rsidRPr="00873549">
                  <w:rPr>
                    <w:rFonts w:cs="Times New Roman"/>
                  </w:rPr>
                  <w:t>diegeses</w:t>
                </w:r>
                <w:proofErr w:type="spellEnd"/>
                <w:r w:rsidRPr="00873549">
                  <w:rPr>
                    <w:rFonts w:cs="Times New Roman"/>
                  </w:rPr>
                  <w:t xml:space="preserve"> of his films, which often defy the teleology of metanarratives; a wide array of poetry and paintings, grafted onto the plot as philosophical subtext; long takes, intricately choreographed, with many optical illusions; an insistence on reducing the role of </w:t>
                </w:r>
                <w:proofErr w:type="spellStart"/>
                <w:r w:rsidRPr="00873549">
                  <w:rPr>
                    <w:rFonts w:cs="Times New Roman"/>
                  </w:rPr>
                  <w:t>color</w:t>
                </w:r>
                <w:proofErr w:type="spellEnd"/>
                <w:r w:rsidRPr="00873549">
                  <w:rPr>
                    <w:rFonts w:cs="Times New Roman"/>
                  </w:rPr>
                  <w:t xml:space="preserve"> in order to enhance the </w:t>
                </w:r>
                <w:r w:rsidR="00873549">
                  <w:rPr>
                    <w:rFonts w:cs="Times New Roman"/>
                  </w:rPr>
                  <w:t>‘</w:t>
                </w:r>
                <w:r w:rsidRPr="00873549">
                  <w:rPr>
                    <w:rFonts w:cs="Times New Roman"/>
                  </w:rPr>
                  <w:t>expressiveness</w:t>
                </w:r>
                <w:r w:rsidR="00873549">
                  <w:rPr>
                    <w:rFonts w:cs="Times New Roman"/>
                  </w:rPr>
                  <w:t>’</w:t>
                </w:r>
                <w:r w:rsidRPr="00873549">
                  <w:rPr>
                    <w:rFonts w:cs="Times New Roman"/>
                  </w:rPr>
                  <w:t xml:space="preserve"> of the image (Johnson 188); and finally, a spare cinematic score that is often mainly a </w:t>
                </w:r>
                <w:r w:rsidR="00873549">
                  <w:rPr>
                    <w:rFonts w:cs="Times New Roman"/>
                  </w:rPr>
                  <w:t>‘</w:t>
                </w:r>
                <w:r w:rsidRPr="00873549">
                  <w:rPr>
                    <w:rFonts w:cs="Times New Roman"/>
                  </w:rPr>
                  <w:t>refrain</w:t>
                </w:r>
                <w:r w:rsidR="00873549">
                  <w:rPr>
                    <w:rFonts w:cs="Times New Roman"/>
                  </w:rPr>
                  <w:t>’</w:t>
                </w:r>
                <w:r w:rsidRPr="00873549">
                  <w:rPr>
                    <w:rFonts w:cs="Times New Roman"/>
                  </w:rPr>
                  <w:t xml:space="preserve"> to accentuate emotional climaxes (</w:t>
                </w:r>
                <w:proofErr w:type="spellStart"/>
                <w:r w:rsidRPr="00873549">
                  <w:rPr>
                    <w:rFonts w:cs="Times New Roman"/>
                  </w:rPr>
                  <w:t>Tarkovsky</w:t>
                </w:r>
                <w:proofErr w:type="spellEnd"/>
                <w:r w:rsidRPr="00873549">
                  <w:rPr>
                    <w:rFonts w:cs="Times New Roman"/>
                  </w:rPr>
                  <w:t xml:space="preserve"> 158). Thematically, a number of key metaphysical, autobiographical, and historical motifs also recur in his films. The ethical crisis of the human in a universe devoid of humanistic faith, the playful authority of memory over subjectivity, the simultaneous and conflicting </w:t>
                </w:r>
                <w:proofErr w:type="spellStart"/>
                <w:r w:rsidRPr="00873549">
                  <w:rPr>
                    <w:rFonts w:cs="Times New Roman"/>
                  </w:rPr>
                  <w:t>alterity</w:t>
                </w:r>
                <w:proofErr w:type="spellEnd"/>
                <w:r w:rsidRPr="00873549">
                  <w:rPr>
                    <w:rFonts w:cs="Times New Roman"/>
                  </w:rPr>
                  <w:t xml:space="preserve"> and interiority of Nature, and the dilemma of the instrumentality of technology and reason to the capitalistic </w:t>
                </w:r>
                <w:r w:rsidRPr="00873549">
                  <w:rPr>
                    <w:rFonts w:cs="Times New Roman"/>
                    <w:i/>
                  </w:rPr>
                  <w:t>ratio</w:t>
                </w:r>
                <w:r w:rsidRPr="00873549">
                  <w:rPr>
                    <w:rFonts w:cs="Times New Roman"/>
                  </w:rPr>
                  <w:t>, exemplify some of his main concerns.</w:t>
                </w:r>
              </w:p>
              <w:p w14:paraId="1C502A5B" w14:textId="77777777" w:rsidR="00E85A05" w:rsidRDefault="00E85A05" w:rsidP="00E85A05"/>
            </w:tc>
          </w:sdtContent>
        </w:sdt>
      </w:tr>
      <w:tr w:rsidR="003F0D73" w14:paraId="1B53D86F" w14:textId="77777777" w:rsidTr="003F0D73">
        <w:sdt>
          <w:sdtPr>
            <w:alias w:val="Article text"/>
            <w:tag w:val="articleText"/>
            <w:id w:val="634067588"/>
            <w:placeholder>
              <w:docPart w:val="06457F53B04B28409B6FC60BBE2AAE8C"/>
            </w:placeholder>
          </w:sdtPr>
          <w:sdtEndPr/>
          <w:sdtContent>
            <w:tc>
              <w:tcPr>
                <w:tcW w:w="9016" w:type="dxa"/>
                <w:tcMar>
                  <w:top w:w="113" w:type="dxa"/>
                  <w:bottom w:w="113" w:type="dxa"/>
                </w:tcMar>
              </w:tcPr>
              <w:p w14:paraId="1C8EEFC3" w14:textId="77777777" w:rsidR="008E009C" w:rsidRPr="00873549" w:rsidRDefault="008E009C" w:rsidP="008E009C">
                <w:pPr>
                  <w:rPr>
                    <w:rFonts w:cs="Times New Roman"/>
                  </w:rPr>
                </w:pPr>
                <w:r w:rsidRPr="00873549">
                  <w:rPr>
                    <w:rFonts w:cs="Times New Roman"/>
                  </w:rPr>
                  <w:t xml:space="preserve">The cinema of Andrei </w:t>
                </w:r>
                <w:proofErr w:type="spellStart"/>
                <w:r w:rsidRPr="00873549">
                  <w:rPr>
                    <w:rFonts w:cs="Times New Roman"/>
                  </w:rPr>
                  <w:t>Tarkovsky</w:t>
                </w:r>
                <w:proofErr w:type="spellEnd"/>
                <w:r w:rsidRPr="00873549">
                  <w:rPr>
                    <w:rFonts w:cs="Times New Roman"/>
                  </w:rPr>
                  <w:t xml:space="preserve"> stands at the zenith of high-modernist cinema. Amongst the many technical achievements that characterize </w:t>
                </w:r>
                <w:proofErr w:type="spellStart"/>
                <w:r w:rsidRPr="00873549">
                  <w:rPr>
                    <w:rFonts w:cs="Times New Roman"/>
                  </w:rPr>
                  <w:t>Tarkovsky’s</w:t>
                </w:r>
                <w:proofErr w:type="spellEnd"/>
                <w:r w:rsidRPr="00873549">
                  <w:rPr>
                    <w:rFonts w:cs="Times New Roman"/>
                  </w:rPr>
                  <w:t xml:space="preserve"> total art approach to cinema, a few stand out: the fragmented and free floating </w:t>
                </w:r>
                <w:proofErr w:type="spellStart"/>
                <w:r w:rsidRPr="00873549">
                  <w:rPr>
                    <w:rFonts w:cs="Times New Roman"/>
                  </w:rPr>
                  <w:t>diegeses</w:t>
                </w:r>
                <w:proofErr w:type="spellEnd"/>
                <w:r w:rsidRPr="00873549">
                  <w:rPr>
                    <w:rFonts w:cs="Times New Roman"/>
                  </w:rPr>
                  <w:t xml:space="preserve"> of his films, which often defy the teleology of metanarratives; a wide array of poetry and paintings, grafted onto the plot as philosophical subtext; long takes, intricately choreographed, with many optical illusions; an insistence on reducing the role of </w:t>
                </w:r>
                <w:proofErr w:type="spellStart"/>
                <w:r w:rsidRPr="00873549">
                  <w:rPr>
                    <w:rFonts w:cs="Times New Roman"/>
                  </w:rPr>
                  <w:t>color</w:t>
                </w:r>
                <w:proofErr w:type="spellEnd"/>
                <w:r w:rsidRPr="00873549">
                  <w:rPr>
                    <w:rFonts w:cs="Times New Roman"/>
                  </w:rPr>
                  <w:t xml:space="preserve"> in order to enhance the </w:t>
                </w:r>
                <w:r w:rsidR="00873549">
                  <w:rPr>
                    <w:rFonts w:cs="Times New Roman"/>
                  </w:rPr>
                  <w:t>‘</w:t>
                </w:r>
                <w:r w:rsidRPr="00873549">
                  <w:rPr>
                    <w:rFonts w:cs="Times New Roman"/>
                  </w:rPr>
                  <w:t>expressiveness</w:t>
                </w:r>
                <w:r w:rsidR="00873549">
                  <w:rPr>
                    <w:rFonts w:cs="Times New Roman"/>
                  </w:rPr>
                  <w:t>’</w:t>
                </w:r>
                <w:r w:rsidRPr="00873549">
                  <w:rPr>
                    <w:rFonts w:cs="Times New Roman"/>
                  </w:rPr>
                  <w:t xml:space="preserve"> of the image (Johnson 188); and finally, a spare cinematic score that is often mainly a </w:t>
                </w:r>
                <w:r w:rsidR="00873549">
                  <w:rPr>
                    <w:rFonts w:cs="Times New Roman"/>
                  </w:rPr>
                  <w:t>‘</w:t>
                </w:r>
                <w:r w:rsidRPr="00873549">
                  <w:rPr>
                    <w:rFonts w:cs="Times New Roman"/>
                  </w:rPr>
                  <w:t>refrain</w:t>
                </w:r>
                <w:r w:rsidR="00873549">
                  <w:rPr>
                    <w:rFonts w:cs="Times New Roman"/>
                  </w:rPr>
                  <w:t>’</w:t>
                </w:r>
                <w:r w:rsidRPr="00873549">
                  <w:rPr>
                    <w:rFonts w:cs="Times New Roman"/>
                  </w:rPr>
                  <w:t xml:space="preserve"> to accentuate emotional climaxes (</w:t>
                </w:r>
                <w:proofErr w:type="spellStart"/>
                <w:r w:rsidRPr="00873549">
                  <w:rPr>
                    <w:rFonts w:cs="Times New Roman"/>
                  </w:rPr>
                  <w:t>Tarkovsky</w:t>
                </w:r>
                <w:proofErr w:type="spellEnd"/>
                <w:r w:rsidRPr="00873549">
                  <w:rPr>
                    <w:rFonts w:cs="Times New Roman"/>
                  </w:rPr>
                  <w:t xml:space="preserve"> 158). Thematically, a number of key metaphysical, autobiographical, and historical motifs also recur in his films. The ethical crisis of the human in a universe devoid of humanistic faith, the playful authority of memory over subjectivity, the simultaneous and conflicting </w:t>
                </w:r>
                <w:proofErr w:type="spellStart"/>
                <w:r w:rsidRPr="00873549">
                  <w:rPr>
                    <w:rFonts w:cs="Times New Roman"/>
                  </w:rPr>
                  <w:t>alterity</w:t>
                </w:r>
                <w:proofErr w:type="spellEnd"/>
                <w:r w:rsidRPr="00873549">
                  <w:rPr>
                    <w:rFonts w:cs="Times New Roman"/>
                  </w:rPr>
                  <w:t xml:space="preserve"> and interiority of Nature, and the dilemma of the instrumentality of technology and reason to the capitalistic </w:t>
                </w:r>
                <w:r w:rsidRPr="00873549">
                  <w:rPr>
                    <w:rFonts w:cs="Times New Roman"/>
                    <w:i/>
                  </w:rPr>
                  <w:t>ratio</w:t>
                </w:r>
                <w:r w:rsidRPr="00873549">
                  <w:rPr>
                    <w:rFonts w:cs="Times New Roman"/>
                  </w:rPr>
                  <w:t>, exemplify some of his main concerns.</w:t>
                </w:r>
              </w:p>
              <w:p w14:paraId="3290D605" w14:textId="77777777" w:rsidR="008E009C" w:rsidRPr="00873549" w:rsidRDefault="008E009C" w:rsidP="008E009C">
                <w:pPr>
                  <w:rPr>
                    <w:rFonts w:cs="Times New Roman"/>
                  </w:rPr>
                </w:pPr>
              </w:p>
              <w:p w14:paraId="796F50E9" w14:textId="77777777" w:rsidR="008E009C" w:rsidRPr="00873549" w:rsidRDefault="008E009C" w:rsidP="008E009C">
                <w:pPr>
                  <w:rPr>
                    <w:rFonts w:cs="Times New Roman"/>
                  </w:rPr>
                </w:pPr>
                <w:proofErr w:type="spellStart"/>
                <w:r w:rsidRPr="00873549">
                  <w:rPr>
                    <w:rFonts w:cs="Times New Roman"/>
                  </w:rPr>
                  <w:t>Tarkovsky’s</w:t>
                </w:r>
                <w:proofErr w:type="spellEnd"/>
                <w:r w:rsidRPr="00873549">
                  <w:rPr>
                    <w:rFonts w:cs="Times New Roman"/>
                  </w:rPr>
                  <w:t xml:space="preserve"> career as an artist can be divided into two distinct stylistic approaches to the cinematic medium. In all his earlier films, up to and including his autobiographical feature, </w:t>
                </w:r>
                <w:r w:rsidRPr="00873549">
                  <w:rPr>
                    <w:rFonts w:cs="Times New Roman"/>
                    <w:i/>
                  </w:rPr>
                  <w:t>The Mirror</w:t>
                </w:r>
                <w:r w:rsidRPr="00873549">
                  <w:rPr>
                    <w:rFonts w:cs="Times New Roman"/>
                  </w:rPr>
                  <w:t xml:space="preserve"> (1975), </w:t>
                </w:r>
                <w:proofErr w:type="spellStart"/>
                <w:r w:rsidRPr="00873549">
                  <w:rPr>
                    <w:rFonts w:cs="Times New Roman"/>
                  </w:rPr>
                  <w:t>Tarkovsky</w:t>
                </w:r>
                <w:proofErr w:type="spellEnd"/>
                <w:r w:rsidRPr="00873549">
                  <w:rPr>
                    <w:rFonts w:cs="Times New Roman"/>
                  </w:rPr>
                  <w:t xml:space="preserve"> saw cinema as a sculpture in time: a temporal plurality that can modify and structure the spectator’s relationship to linear scientific time and thereby allow for a metamorphosis of perspective, subjectivity and history. However, from his existential commentary on human nature </w:t>
                </w:r>
                <w:r w:rsidRPr="00873549">
                  <w:rPr>
                    <w:rFonts w:cs="Times New Roman"/>
                    <w:i/>
                  </w:rPr>
                  <w:t>Stalker</w:t>
                </w:r>
                <w:r w:rsidRPr="00873549">
                  <w:rPr>
                    <w:rFonts w:cs="Times New Roman"/>
                  </w:rPr>
                  <w:t xml:space="preserve"> (1979) onward, his films served as explorations of the </w:t>
                </w:r>
                <w:r w:rsidR="00873549">
                  <w:rPr>
                    <w:rFonts w:cs="Times New Roman"/>
                  </w:rPr>
                  <w:t>‘</w:t>
                </w:r>
                <w:r w:rsidRPr="00873549">
                  <w:rPr>
                    <w:rFonts w:cs="Times New Roman"/>
                  </w:rPr>
                  <w:t>Aristotelian dramatic unities</w:t>
                </w:r>
                <w:r w:rsidR="00873549">
                  <w:rPr>
                    <w:rFonts w:cs="Times New Roman"/>
                  </w:rPr>
                  <w:t>’</w:t>
                </w:r>
                <w:r w:rsidRPr="00873549">
                  <w:rPr>
                    <w:rFonts w:cs="Times New Roman"/>
                  </w:rPr>
                  <w:t xml:space="preserve"> (Guerra). This overtly modernist concern with aesthetic self-reflection compelled </w:t>
                </w:r>
                <w:proofErr w:type="spellStart"/>
                <w:r w:rsidRPr="00873549">
                  <w:rPr>
                    <w:rFonts w:cs="Times New Roman"/>
                  </w:rPr>
                  <w:t>Tarkovsky</w:t>
                </w:r>
                <w:proofErr w:type="spellEnd"/>
                <w:r w:rsidRPr="00873549">
                  <w:rPr>
                    <w:rFonts w:cs="Times New Roman"/>
                  </w:rPr>
                  <w:t xml:space="preserve"> to avoid public friction with the Soviet cultural authorities. </w:t>
                </w:r>
                <w:r w:rsidRPr="00873549">
                  <w:rPr>
                    <w:rFonts w:cs="Times New Roman"/>
                  </w:rPr>
                  <w:lastRenderedPageBreak/>
                  <w:t xml:space="preserve">Nevertheless, after the enormous success of his early masterpiece </w:t>
                </w:r>
                <w:r w:rsidRPr="00873549">
                  <w:rPr>
                    <w:rFonts w:cs="Times New Roman"/>
                    <w:i/>
                  </w:rPr>
                  <w:t xml:space="preserve">Andrei </w:t>
                </w:r>
                <w:proofErr w:type="spellStart"/>
                <w:r w:rsidRPr="00873549">
                  <w:rPr>
                    <w:rFonts w:cs="Times New Roman"/>
                    <w:i/>
                  </w:rPr>
                  <w:t>Rublev</w:t>
                </w:r>
                <w:proofErr w:type="spellEnd"/>
                <w:r w:rsidRPr="00873549">
                  <w:rPr>
                    <w:rFonts w:cs="Times New Roman"/>
                  </w:rPr>
                  <w:t xml:space="preserve"> (1966) he ran into a host of problems with the bureaucratic machine due to the subject matter of his films, such as screening boycotts, shortages in budget and equipment, and extensive censorship. These pressures, at last, drove him to making his films in exile, first in Italy and then in Sweden, culminating in his last feature </w:t>
                </w:r>
                <w:r w:rsidRPr="00873549">
                  <w:rPr>
                    <w:rFonts w:cs="Times New Roman"/>
                    <w:i/>
                  </w:rPr>
                  <w:t>The Sacrifice</w:t>
                </w:r>
                <w:r w:rsidRPr="00873549">
                  <w:rPr>
                    <w:rFonts w:cs="Times New Roman"/>
                  </w:rPr>
                  <w:t xml:space="preserve"> (1896). His career as a director is therefore also divided between the five films he made inside the Soviet Union, the first of which was the orphaned WWII feature </w:t>
                </w:r>
                <w:r w:rsidRPr="00873549">
                  <w:rPr>
                    <w:rFonts w:cs="Times New Roman"/>
                    <w:i/>
                  </w:rPr>
                  <w:t>Ivan’s Childhood</w:t>
                </w:r>
                <w:r w:rsidRPr="00873549">
                  <w:rPr>
                    <w:rFonts w:cs="Times New Roman"/>
                  </w:rPr>
                  <w:t xml:space="preserve"> (1962), and the final three that he made outside the union, starting with his </w:t>
                </w:r>
                <w:proofErr w:type="spellStart"/>
                <w:r w:rsidRPr="00873549">
                  <w:rPr>
                    <w:rFonts w:cs="Times New Roman"/>
                  </w:rPr>
                  <w:t>diasporic</w:t>
                </w:r>
                <w:proofErr w:type="spellEnd"/>
                <w:r w:rsidRPr="00873549">
                  <w:rPr>
                    <w:rFonts w:cs="Times New Roman"/>
                  </w:rPr>
                  <w:t xml:space="preserve"> </w:t>
                </w:r>
                <w:proofErr w:type="spellStart"/>
                <w:r w:rsidRPr="00873549">
                  <w:rPr>
                    <w:rFonts w:cs="Times New Roman"/>
                  </w:rPr>
                  <w:t>rememoration</w:t>
                </w:r>
                <w:proofErr w:type="spellEnd"/>
                <w:r w:rsidRPr="00873549">
                  <w:rPr>
                    <w:rFonts w:cs="Times New Roman"/>
                  </w:rPr>
                  <w:t xml:space="preserve"> of home in</w:t>
                </w:r>
                <w:r w:rsidRPr="00873549">
                  <w:rPr>
                    <w:rFonts w:cs="Times New Roman"/>
                    <w:i/>
                  </w:rPr>
                  <w:t xml:space="preserve"> </w:t>
                </w:r>
                <w:proofErr w:type="spellStart"/>
                <w:r w:rsidRPr="00873549">
                  <w:rPr>
                    <w:rFonts w:cs="Times New Roman"/>
                    <w:i/>
                  </w:rPr>
                  <w:t>Nostalghia</w:t>
                </w:r>
                <w:proofErr w:type="spellEnd"/>
                <w:r w:rsidRPr="00873549">
                  <w:rPr>
                    <w:rFonts w:cs="Times New Roman"/>
                  </w:rPr>
                  <w:t xml:space="preserve"> (1983). Throughout this influential career, two films stand out as the archetypes of the ambiguous relationship of </w:t>
                </w:r>
                <w:proofErr w:type="spellStart"/>
                <w:r w:rsidRPr="00873549">
                  <w:rPr>
                    <w:rFonts w:cs="Times New Roman"/>
                  </w:rPr>
                  <w:t>Tarkovsky’s</w:t>
                </w:r>
                <w:proofErr w:type="spellEnd"/>
                <w:r w:rsidRPr="00873549">
                  <w:rPr>
                    <w:rFonts w:cs="Times New Roman"/>
                  </w:rPr>
                  <w:t xml:space="preserve"> cinema to the modern. The science fiction </w:t>
                </w:r>
                <w:r w:rsidRPr="00873549">
                  <w:rPr>
                    <w:rFonts w:cs="Times New Roman"/>
                    <w:i/>
                  </w:rPr>
                  <w:t>Solaris</w:t>
                </w:r>
                <w:r w:rsidRPr="00873549">
                  <w:rPr>
                    <w:rFonts w:cs="Times New Roman"/>
                  </w:rPr>
                  <w:t xml:space="preserve"> (1972) depicts the potentially disastrous dimensions of technological alienation and celebrates a somewhat romantic vision of Nature as the authentic human home. This is in contrast to Stanislaw </w:t>
                </w:r>
                <w:proofErr w:type="spellStart"/>
                <w:r w:rsidRPr="00873549">
                  <w:rPr>
                    <w:rFonts w:cs="Times New Roman"/>
                  </w:rPr>
                  <w:t>Lem’s</w:t>
                </w:r>
                <w:proofErr w:type="spellEnd"/>
                <w:r w:rsidRPr="00873549">
                  <w:rPr>
                    <w:rFonts w:cs="Times New Roman"/>
                  </w:rPr>
                  <w:t xml:space="preserve"> namesake novel that inspired the script and promotes the eminent triumph of technology. The other film is </w:t>
                </w:r>
                <w:proofErr w:type="spellStart"/>
                <w:r w:rsidRPr="00873549">
                  <w:rPr>
                    <w:rFonts w:cs="Times New Roman"/>
                  </w:rPr>
                  <w:t>Tarkovsky’s</w:t>
                </w:r>
                <w:proofErr w:type="spellEnd"/>
                <w:r w:rsidRPr="00873549">
                  <w:rPr>
                    <w:rFonts w:cs="Times New Roman"/>
                  </w:rPr>
                  <w:t xml:space="preserve"> biographical tribute to his mother, </w:t>
                </w:r>
                <w:r w:rsidRPr="00873549">
                  <w:rPr>
                    <w:rFonts w:cs="Times New Roman"/>
                    <w:i/>
                  </w:rPr>
                  <w:t>The Mirror</w:t>
                </w:r>
                <w:r w:rsidRPr="00873549">
                  <w:rPr>
                    <w:rFonts w:cs="Times New Roman"/>
                  </w:rPr>
                  <w:t xml:space="preserve">, in which the everyday rhythms of life, the evanescence of memory, and the eruptions of historical traumas intermingle to give a non-linear account of subjectivity that simultaneously disrupts and subverts the dialectical. In the end, </w:t>
                </w:r>
                <w:proofErr w:type="spellStart"/>
                <w:r w:rsidRPr="00873549">
                  <w:rPr>
                    <w:rFonts w:cs="Times New Roman"/>
                  </w:rPr>
                  <w:t>Tarkovsky</w:t>
                </w:r>
                <w:proofErr w:type="spellEnd"/>
                <w:r w:rsidRPr="00873549">
                  <w:rPr>
                    <w:rFonts w:cs="Times New Roman"/>
                  </w:rPr>
                  <w:t xml:space="preserve"> died of cancer, while still in exile in Paris, France.</w:t>
                </w:r>
              </w:p>
              <w:p w14:paraId="3E7FE558" w14:textId="77777777" w:rsidR="008E009C" w:rsidRPr="00873549" w:rsidRDefault="008E009C" w:rsidP="008E009C">
                <w:pPr>
                  <w:rPr>
                    <w:rFonts w:cs="Times New Roman"/>
                  </w:rPr>
                </w:pPr>
              </w:p>
              <w:p w14:paraId="4B8E2D9F" w14:textId="77777777" w:rsidR="008E009C" w:rsidRPr="00873549" w:rsidRDefault="008E009C" w:rsidP="00873549">
                <w:pPr>
                  <w:pStyle w:val="Heading1"/>
                  <w:outlineLvl w:val="0"/>
                </w:pPr>
                <w:r w:rsidRPr="00873549">
                  <w:t>List of Major Works</w:t>
                </w:r>
              </w:p>
              <w:p w14:paraId="2878FFA2" w14:textId="77777777" w:rsidR="008E009C" w:rsidRPr="00873549" w:rsidRDefault="008E009C" w:rsidP="008E009C">
                <w:pPr>
                  <w:rPr>
                    <w:rFonts w:cs="Times New Roman"/>
                  </w:rPr>
                </w:pPr>
                <w:bookmarkStart w:id="0" w:name="_GoBack"/>
                <w:bookmarkEnd w:id="0"/>
              </w:p>
              <w:p w14:paraId="44F3BFA5" w14:textId="77777777" w:rsidR="008E009C" w:rsidRPr="00873549" w:rsidRDefault="008E009C" w:rsidP="008E009C">
                <w:pPr>
                  <w:rPr>
                    <w:rFonts w:cs="Times New Roman"/>
                  </w:rPr>
                </w:pPr>
                <w:r w:rsidRPr="00873549">
                  <w:rPr>
                    <w:rFonts w:cs="Times New Roman"/>
                    <w:i/>
                  </w:rPr>
                  <w:t>The Sacrifice</w:t>
                </w:r>
                <w:r w:rsidRPr="00873549">
                  <w:rPr>
                    <w:rFonts w:cs="Times New Roman"/>
                  </w:rPr>
                  <w:t xml:space="preserve"> (1986) </w:t>
                </w:r>
              </w:p>
              <w:p w14:paraId="560BF5F5" w14:textId="77777777" w:rsidR="008E009C" w:rsidRPr="00873549" w:rsidRDefault="008E009C" w:rsidP="008E009C">
                <w:pPr>
                  <w:rPr>
                    <w:rFonts w:cs="Times New Roman"/>
                  </w:rPr>
                </w:pPr>
                <w:proofErr w:type="spellStart"/>
                <w:r w:rsidRPr="00873549">
                  <w:rPr>
                    <w:rFonts w:cs="Times New Roman"/>
                    <w:i/>
                  </w:rPr>
                  <w:t>Nostalghia</w:t>
                </w:r>
                <w:proofErr w:type="spellEnd"/>
                <w:r w:rsidRPr="00873549">
                  <w:rPr>
                    <w:rFonts w:cs="Times New Roman"/>
                  </w:rPr>
                  <w:t xml:space="preserve"> (1983) </w:t>
                </w:r>
              </w:p>
              <w:p w14:paraId="23E789C1" w14:textId="77777777" w:rsidR="008E009C" w:rsidRPr="00873549" w:rsidRDefault="008E009C" w:rsidP="008E009C">
                <w:pPr>
                  <w:rPr>
                    <w:rFonts w:cs="Times New Roman"/>
                  </w:rPr>
                </w:pPr>
                <w:r w:rsidRPr="00873549">
                  <w:rPr>
                    <w:rFonts w:cs="Times New Roman"/>
                    <w:i/>
                  </w:rPr>
                  <w:t>Stalker</w:t>
                </w:r>
                <w:r w:rsidRPr="00873549">
                  <w:rPr>
                    <w:rFonts w:cs="Times New Roman"/>
                  </w:rPr>
                  <w:t xml:space="preserve"> (1979) </w:t>
                </w:r>
              </w:p>
              <w:p w14:paraId="049C6B1D" w14:textId="77777777" w:rsidR="008E009C" w:rsidRPr="00873549" w:rsidRDefault="008E009C" w:rsidP="008E009C">
                <w:pPr>
                  <w:rPr>
                    <w:rFonts w:cs="Times New Roman"/>
                  </w:rPr>
                </w:pPr>
                <w:r w:rsidRPr="00873549">
                  <w:rPr>
                    <w:rFonts w:cs="Times New Roman"/>
                    <w:i/>
                  </w:rPr>
                  <w:t>The Mirror</w:t>
                </w:r>
                <w:r w:rsidRPr="00873549">
                  <w:rPr>
                    <w:rFonts w:cs="Times New Roman"/>
                  </w:rPr>
                  <w:t xml:space="preserve"> (1975) </w:t>
                </w:r>
              </w:p>
              <w:p w14:paraId="7FC5DB46" w14:textId="77777777" w:rsidR="008E009C" w:rsidRPr="00873549" w:rsidRDefault="008E009C" w:rsidP="008E009C">
                <w:pPr>
                  <w:rPr>
                    <w:rFonts w:cs="Times New Roman"/>
                  </w:rPr>
                </w:pPr>
                <w:r w:rsidRPr="00873549">
                  <w:rPr>
                    <w:rFonts w:cs="Times New Roman"/>
                    <w:i/>
                  </w:rPr>
                  <w:t>Solaris</w:t>
                </w:r>
                <w:r w:rsidRPr="00873549">
                  <w:rPr>
                    <w:rFonts w:cs="Times New Roman"/>
                  </w:rPr>
                  <w:t xml:space="preserve"> (1972) </w:t>
                </w:r>
              </w:p>
              <w:p w14:paraId="6479FEEB" w14:textId="77777777" w:rsidR="008E009C" w:rsidRPr="00873549" w:rsidRDefault="008E009C" w:rsidP="008E009C">
                <w:pPr>
                  <w:rPr>
                    <w:rFonts w:cs="Times New Roman"/>
                  </w:rPr>
                </w:pPr>
                <w:r w:rsidRPr="00873549">
                  <w:rPr>
                    <w:rFonts w:cs="Times New Roman"/>
                    <w:i/>
                  </w:rPr>
                  <w:t xml:space="preserve">Andrei </w:t>
                </w:r>
                <w:proofErr w:type="spellStart"/>
                <w:r w:rsidRPr="00873549">
                  <w:rPr>
                    <w:rFonts w:cs="Times New Roman"/>
                    <w:i/>
                  </w:rPr>
                  <w:t>Rublev</w:t>
                </w:r>
                <w:proofErr w:type="spellEnd"/>
                <w:r w:rsidRPr="00873549">
                  <w:rPr>
                    <w:rFonts w:cs="Times New Roman"/>
                  </w:rPr>
                  <w:t xml:space="preserve"> (1966) </w:t>
                </w:r>
              </w:p>
              <w:p w14:paraId="37356C31" w14:textId="77777777" w:rsidR="008E009C" w:rsidRPr="00873549" w:rsidRDefault="008E009C" w:rsidP="008E009C">
                <w:pPr>
                  <w:rPr>
                    <w:rFonts w:cs="Times New Roman"/>
                  </w:rPr>
                </w:pPr>
                <w:r w:rsidRPr="00873549">
                  <w:rPr>
                    <w:rFonts w:cs="Times New Roman"/>
                    <w:i/>
                  </w:rPr>
                  <w:t>Ivan's Childhood</w:t>
                </w:r>
                <w:r w:rsidRPr="00873549">
                  <w:rPr>
                    <w:rFonts w:cs="Times New Roman"/>
                  </w:rPr>
                  <w:t xml:space="preserve"> (1962) </w:t>
                </w:r>
              </w:p>
              <w:p w14:paraId="17846015" w14:textId="77777777" w:rsidR="008E009C" w:rsidRPr="00873549" w:rsidRDefault="008E009C" w:rsidP="008E009C">
                <w:pPr>
                  <w:rPr>
                    <w:rFonts w:cs="Times New Roman"/>
                  </w:rPr>
                </w:pPr>
                <w:r w:rsidRPr="00873549">
                  <w:rPr>
                    <w:rFonts w:cs="Times New Roman"/>
                    <w:i/>
                  </w:rPr>
                  <w:t>The Steamroller and the Violin</w:t>
                </w:r>
                <w:r w:rsidRPr="00873549">
                  <w:rPr>
                    <w:rFonts w:cs="Times New Roman"/>
                  </w:rPr>
                  <w:t xml:space="preserve"> (1960) </w:t>
                </w:r>
              </w:p>
              <w:p w14:paraId="4C66B5A8" w14:textId="77777777" w:rsidR="003F0D73" w:rsidRDefault="003F0D73" w:rsidP="00C27FAB"/>
            </w:tc>
          </w:sdtContent>
        </w:sdt>
      </w:tr>
      <w:tr w:rsidR="003235A7" w14:paraId="54715A16" w14:textId="77777777" w:rsidTr="003235A7">
        <w:tc>
          <w:tcPr>
            <w:tcW w:w="9016" w:type="dxa"/>
          </w:tcPr>
          <w:p w14:paraId="7AA2CB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ACA62328476E458342FA7131339FB9"/>
              </w:placeholder>
            </w:sdtPr>
            <w:sdtEndPr/>
            <w:sdtContent>
              <w:p w14:paraId="525687CD" w14:textId="77777777" w:rsidR="008E009C" w:rsidRPr="00873549" w:rsidRDefault="00A9168C" w:rsidP="008E009C">
                <w:pPr>
                  <w:rPr>
                    <w:rFonts w:cs="Times New Roman"/>
                  </w:rPr>
                </w:pPr>
                <w:sdt>
                  <w:sdtPr>
                    <w:id w:val="-424813752"/>
                    <w:citation/>
                  </w:sdtPr>
                  <w:sdtEndPr/>
                  <w:sdtContent>
                    <w:r w:rsidR="008E009C" w:rsidRPr="00873549">
                      <w:fldChar w:fldCharType="begin"/>
                    </w:r>
                    <w:r w:rsidR="008E009C" w:rsidRPr="00873549">
                      <w:rPr>
                        <w:rFonts w:cs="Times New Roman"/>
                        <w:lang w:val="en-US"/>
                      </w:rPr>
                      <w:instrText xml:space="preserve"> CITATION Bir08 \l 1033 </w:instrText>
                    </w:r>
                    <w:r w:rsidR="008E009C" w:rsidRPr="00873549">
                      <w:fldChar w:fldCharType="separate"/>
                    </w:r>
                    <w:r w:rsidR="008E009C" w:rsidRPr="00873549">
                      <w:rPr>
                        <w:rFonts w:cs="Times New Roman"/>
                        <w:noProof/>
                        <w:lang w:val="en-US"/>
                      </w:rPr>
                      <w:t xml:space="preserve"> (Bird)</w:t>
                    </w:r>
                    <w:r w:rsidR="008E009C" w:rsidRPr="00873549">
                      <w:fldChar w:fldCharType="end"/>
                    </w:r>
                  </w:sdtContent>
                </w:sdt>
              </w:p>
              <w:p w14:paraId="5CA497EA" w14:textId="77777777" w:rsidR="008E009C" w:rsidRPr="00873549" w:rsidRDefault="00A9168C" w:rsidP="008E009C">
                <w:pPr>
                  <w:rPr>
                    <w:rFonts w:cs="Times New Roman"/>
                  </w:rPr>
                </w:pPr>
                <w:sdt>
                  <w:sdtPr>
                    <w:rPr>
                      <w:rFonts w:cs="Times New Roman"/>
                    </w:rPr>
                    <w:id w:val="176624986"/>
                    <w:citation/>
                  </w:sdtPr>
                  <w:sdtEndPr/>
                  <w:sdtContent>
                    <w:r w:rsidR="008E009C" w:rsidRPr="00873549">
                      <w:rPr>
                        <w:rFonts w:cs="Times New Roman"/>
                      </w:rPr>
                      <w:fldChar w:fldCharType="begin"/>
                    </w:r>
                    <w:r w:rsidR="008E009C" w:rsidRPr="00873549">
                      <w:rPr>
                        <w:rFonts w:cs="Times New Roman"/>
                        <w:lang w:val="en-US"/>
                      </w:rPr>
                      <w:instrText xml:space="preserve"> CITATION Kov08 \l 1033 </w:instrText>
                    </w:r>
                    <w:r w:rsidR="008E009C" w:rsidRPr="00873549">
                      <w:rPr>
                        <w:rFonts w:cs="Times New Roman"/>
                      </w:rPr>
                      <w:fldChar w:fldCharType="separate"/>
                    </w:r>
                    <w:r w:rsidR="008E009C" w:rsidRPr="00873549">
                      <w:rPr>
                        <w:rFonts w:cs="Times New Roman"/>
                        <w:noProof/>
                        <w:lang w:val="en-US"/>
                      </w:rPr>
                      <w:t>(Kovacs)</w:t>
                    </w:r>
                    <w:r w:rsidR="008E009C" w:rsidRPr="00873549">
                      <w:rPr>
                        <w:rFonts w:cs="Times New Roman"/>
                      </w:rPr>
                      <w:fldChar w:fldCharType="end"/>
                    </w:r>
                  </w:sdtContent>
                </w:sdt>
              </w:p>
              <w:p w14:paraId="3164E10C" w14:textId="77777777" w:rsidR="008E009C" w:rsidRPr="00873549" w:rsidRDefault="00A9168C" w:rsidP="00006F3A">
                <w:pPr>
                  <w:rPr>
                    <w:rFonts w:cs="Times New Roman"/>
                  </w:rPr>
                </w:pPr>
                <w:sdt>
                  <w:sdtPr>
                    <w:rPr>
                      <w:rFonts w:cs="Times New Roman"/>
                    </w:rPr>
                    <w:id w:val="-1119372263"/>
                    <w:citation/>
                  </w:sdtPr>
                  <w:sdtEndPr/>
                  <w:sdtContent>
                    <w:r w:rsidR="00006F3A" w:rsidRPr="00873549">
                      <w:rPr>
                        <w:rFonts w:cs="Times New Roman"/>
                      </w:rPr>
                      <w:fldChar w:fldCharType="begin"/>
                    </w:r>
                    <w:r w:rsidR="00006F3A" w:rsidRPr="00873549">
                      <w:rPr>
                        <w:rFonts w:cs="Times New Roman"/>
                        <w:lang w:val="en-US"/>
                      </w:rPr>
                      <w:instrText xml:space="preserve"> CITATION Gre92 \l 1033 </w:instrText>
                    </w:r>
                    <w:r w:rsidR="00006F3A" w:rsidRPr="00873549">
                      <w:rPr>
                        <w:rFonts w:cs="Times New Roman"/>
                      </w:rPr>
                      <w:fldChar w:fldCharType="separate"/>
                    </w:r>
                    <w:r w:rsidR="00006F3A" w:rsidRPr="00873549">
                      <w:rPr>
                        <w:rFonts w:cs="Times New Roman"/>
                        <w:noProof/>
                        <w:lang w:val="en-US"/>
                      </w:rPr>
                      <w:t>(Green)</w:t>
                    </w:r>
                    <w:r w:rsidR="00006F3A" w:rsidRPr="00873549">
                      <w:rPr>
                        <w:rFonts w:cs="Times New Roman"/>
                      </w:rPr>
                      <w:fldChar w:fldCharType="end"/>
                    </w:r>
                  </w:sdtContent>
                </w:sdt>
              </w:p>
              <w:p w14:paraId="061A5890" w14:textId="77777777" w:rsidR="008E009C" w:rsidRPr="00873549" w:rsidRDefault="00A9168C" w:rsidP="008E009C">
                <w:pPr>
                  <w:rPr>
                    <w:rFonts w:cs="Times New Roman"/>
                  </w:rPr>
                </w:pPr>
                <w:sdt>
                  <w:sdtPr>
                    <w:rPr>
                      <w:rFonts w:cs="Times New Roman"/>
                    </w:rPr>
                    <w:id w:val="475423645"/>
                    <w:citation/>
                  </w:sdtPr>
                  <w:sdtEndPr/>
                  <w:sdtContent>
                    <w:r w:rsidR="00006F3A" w:rsidRPr="00873549">
                      <w:rPr>
                        <w:rFonts w:cs="Times New Roman"/>
                      </w:rPr>
                      <w:fldChar w:fldCharType="begin"/>
                    </w:r>
                    <w:r w:rsidR="00006F3A" w:rsidRPr="00873549">
                      <w:rPr>
                        <w:rFonts w:cs="Times New Roman"/>
                        <w:lang w:val="en-US"/>
                      </w:rPr>
                      <w:instrText xml:space="preserve"> CITATION Joh94 \l 1033 </w:instrText>
                    </w:r>
                    <w:r w:rsidR="00006F3A" w:rsidRPr="00873549">
                      <w:rPr>
                        <w:rFonts w:cs="Times New Roman"/>
                      </w:rPr>
                      <w:fldChar w:fldCharType="separate"/>
                    </w:r>
                    <w:r w:rsidR="00006F3A" w:rsidRPr="00873549">
                      <w:rPr>
                        <w:rFonts w:cs="Times New Roman"/>
                        <w:noProof/>
                        <w:lang w:val="en-US"/>
                      </w:rPr>
                      <w:t>(Johnson)</w:t>
                    </w:r>
                    <w:r w:rsidR="00006F3A" w:rsidRPr="00873549">
                      <w:rPr>
                        <w:rFonts w:cs="Times New Roman"/>
                      </w:rPr>
                      <w:fldChar w:fldCharType="end"/>
                    </w:r>
                  </w:sdtContent>
                </w:sdt>
                <w:r w:rsidR="008E009C" w:rsidRPr="00873549" w:rsidDel="001F1280">
                  <w:rPr>
                    <w:rFonts w:cs="Times New Roman"/>
                  </w:rPr>
                  <w:t xml:space="preserve"> </w:t>
                </w:r>
              </w:p>
              <w:p w14:paraId="3BC43F90" w14:textId="77777777" w:rsidR="008E009C" w:rsidRPr="00873549" w:rsidRDefault="00A9168C" w:rsidP="008E009C">
                <w:pPr>
                  <w:rPr>
                    <w:rFonts w:cs="Times New Roman"/>
                  </w:rPr>
                </w:pPr>
                <w:sdt>
                  <w:sdtPr>
                    <w:rPr>
                      <w:rFonts w:cs="Times New Roman"/>
                    </w:rPr>
                    <w:id w:val="1301344147"/>
                    <w:citation/>
                  </w:sdtPr>
                  <w:sdtEndPr/>
                  <w:sdtContent>
                    <w:r w:rsidR="00006F3A" w:rsidRPr="00873549">
                      <w:rPr>
                        <w:rFonts w:cs="Times New Roman"/>
                      </w:rPr>
                      <w:fldChar w:fldCharType="begin"/>
                    </w:r>
                    <w:r w:rsidR="00006F3A" w:rsidRPr="00873549">
                      <w:rPr>
                        <w:rFonts w:eastAsia="Times New Roman" w:cs="Times New Roman"/>
                        <w:color w:val="000000"/>
                        <w:shd w:val="clear" w:color="auto" w:fill="FFFFFF"/>
                        <w:lang w:val="en-US"/>
                      </w:rPr>
                      <w:instrText xml:space="preserve"> CITATION Tar89 \l 1033 </w:instrText>
                    </w:r>
                    <w:r w:rsidR="00006F3A" w:rsidRPr="00873549">
                      <w:rPr>
                        <w:rFonts w:cs="Times New Roman"/>
                      </w:rPr>
                      <w:fldChar w:fldCharType="separate"/>
                    </w:r>
                    <w:r w:rsidR="00006F3A" w:rsidRPr="00873549">
                      <w:rPr>
                        <w:rFonts w:eastAsia="Times New Roman" w:cs="Times New Roman"/>
                        <w:noProof/>
                        <w:color w:val="000000"/>
                        <w:shd w:val="clear" w:color="auto" w:fill="FFFFFF"/>
                        <w:lang w:val="en-US"/>
                      </w:rPr>
                      <w:t>(Tarkovsky)</w:t>
                    </w:r>
                    <w:r w:rsidR="00006F3A" w:rsidRPr="00873549">
                      <w:rPr>
                        <w:rFonts w:cs="Times New Roman"/>
                      </w:rPr>
                      <w:fldChar w:fldCharType="end"/>
                    </w:r>
                  </w:sdtContent>
                </w:sdt>
              </w:p>
              <w:p w14:paraId="72C75A71" w14:textId="77777777" w:rsidR="008E009C" w:rsidRPr="00873549" w:rsidRDefault="00A9168C" w:rsidP="00006F3A">
                <w:pPr>
                  <w:rPr>
                    <w:rFonts w:cs="Times New Roman"/>
                  </w:rPr>
                </w:pPr>
                <w:sdt>
                  <w:sdtPr>
                    <w:rPr>
                      <w:rFonts w:cs="Times New Roman"/>
                    </w:rPr>
                    <w:id w:val="1504710407"/>
                    <w:citation/>
                  </w:sdtPr>
                  <w:sdtEndPr/>
                  <w:sdtContent>
                    <w:r w:rsidR="00006F3A" w:rsidRPr="00873549">
                      <w:rPr>
                        <w:rFonts w:cs="Times New Roman"/>
                      </w:rPr>
                      <w:fldChar w:fldCharType="begin"/>
                    </w:r>
                    <w:r w:rsidR="00006F3A" w:rsidRPr="00873549">
                      <w:rPr>
                        <w:rFonts w:cs="Times New Roman"/>
                        <w:lang w:val="en-US"/>
                      </w:rPr>
                      <w:instrText xml:space="preserve"> CITATION Gue79 \l 1033 </w:instrText>
                    </w:r>
                    <w:r w:rsidR="00006F3A" w:rsidRPr="00873549">
                      <w:rPr>
                        <w:rFonts w:cs="Times New Roman"/>
                      </w:rPr>
                      <w:fldChar w:fldCharType="separate"/>
                    </w:r>
                    <w:r w:rsidR="00006F3A" w:rsidRPr="00873549">
                      <w:rPr>
                        <w:rFonts w:cs="Times New Roman"/>
                        <w:noProof/>
                        <w:lang w:val="en-US"/>
                      </w:rPr>
                      <w:t>(Guerra)</w:t>
                    </w:r>
                    <w:r w:rsidR="00006F3A" w:rsidRPr="00873549">
                      <w:rPr>
                        <w:rFonts w:cs="Times New Roman"/>
                      </w:rPr>
                      <w:fldChar w:fldCharType="end"/>
                    </w:r>
                  </w:sdtContent>
                </w:sdt>
              </w:p>
              <w:p w14:paraId="64E586CD" w14:textId="77777777" w:rsidR="003235A7" w:rsidRDefault="00A9168C" w:rsidP="00FB11DE"/>
            </w:sdtContent>
          </w:sdt>
        </w:tc>
      </w:tr>
    </w:tbl>
    <w:p w14:paraId="1B99E24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3EC44" w14:textId="77777777" w:rsidR="00A9168C" w:rsidRDefault="00A9168C" w:rsidP="007A0D55">
      <w:pPr>
        <w:spacing w:after="0" w:line="240" w:lineRule="auto"/>
      </w:pPr>
      <w:r>
        <w:separator/>
      </w:r>
    </w:p>
  </w:endnote>
  <w:endnote w:type="continuationSeparator" w:id="0">
    <w:p w14:paraId="5A2937EB" w14:textId="77777777" w:rsidR="00A9168C" w:rsidRDefault="00A916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A0C7E" w14:textId="77777777" w:rsidR="00A9168C" w:rsidRDefault="00A9168C" w:rsidP="007A0D55">
      <w:pPr>
        <w:spacing w:after="0" w:line="240" w:lineRule="auto"/>
      </w:pPr>
      <w:r>
        <w:separator/>
      </w:r>
    </w:p>
  </w:footnote>
  <w:footnote w:type="continuationSeparator" w:id="0">
    <w:p w14:paraId="42ABE676" w14:textId="77777777" w:rsidR="00A9168C" w:rsidRDefault="00A916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F75A5" w14:textId="77777777" w:rsidR="008E009C" w:rsidRDefault="008E00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A0F6BC" w14:textId="77777777" w:rsidR="008E009C" w:rsidRDefault="008E0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FA2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9C"/>
    <w:rsid w:val="00006F3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3549"/>
    <w:rsid w:val="008A5B87"/>
    <w:rsid w:val="008E009C"/>
    <w:rsid w:val="00922950"/>
    <w:rsid w:val="009A7264"/>
    <w:rsid w:val="009D1606"/>
    <w:rsid w:val="009E18A1"/>
    <w:rsid w:val="009E73D7"/>
    <w:rsid w:val="00A27D2C"/>
    <w:rsid w:val="00A76FD9"/>
    <w:rsid w:val="00A9168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163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E00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0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CE819EF1A8254780F4F0EE0998DAA4"/>
        <w:category>
          <w:name w:val="General"/>
          <w:gallery w:val="placeholder"/>
        </w:category>
        <w:types>
          <w:type w:val="bbPlcHdr"/>
        </w:types>
        <w:behaviors>
          <w:behavior w:val="content"/>
        </w:behaviors>
        <w:guid w:val="{36B80660-AB0B-684F-9A4A-F36D33A3F38A}"/>
      </w:docPartPr>
      <w:docPartBody>
        <w:p w:rsidR="00F65356" w:rsidRDefault="00525F9F">
          <w:pPr>
            <w:pStyle w:val="A3CE819EF1A8254780F4F0EE0998DAA4"/>
          </w:pPr>
          <w:r w:rsidRPr="00CC586D">
            <w:rPr>
              <w:rStyle w:val="PlaceholderText"/>
              <w:b/>
              <w:color w:val="FFFFFF" w:themeColor="background1"/>
            </w:rPr>
            <w:t>[Salutation]</w:t>
          </w:r>
        </w:p>
      </w:docPartBody>
    </w:docPart>
    <w:docPart>
      <w:docPartPr>
        <w:name w:val="8CD86264FAC77942B15D91A2E9E47966"/>
        <w:category>
          <w:name w:val="General"/>
          <w:gallery w:val="placeholder"/>
        </w:category>
        <w:types>
          <w:type w:val="bbPlcHdr"/>
        </w:types>
        <w:behaviors>
          <w:behavior w:val="content"/>
        </w:behaviors>
        <w:guid w:val="{E89F18D3-8716-1248-BEE9-7D7E2FAD5F67}"/>
      </w:docPartPr>
      <w:docPartBody>
        <w:p w:rsidR="00F65356" w:rsidRDefault="00525F9F">
          <w:pPr>
            <w:pStyle w:val="8CD86264FAC77942B15D91A2E9E47966"/>
          </w:pPr>
          <w:r>
            <w:rPr>
              <w:rStyle w:val="PlaceholderText"/>
            </w:rPr>
            <w:t>[First name]</w:t>
          </w:r>
        </w:p>
      </w:docPartBody>
    </w:docPart>
    <w:docPart>
      <w:docPartPr>
        <w:name w:val="C649CC853F4EC346A53EA1F914141691"/>
        <w:category>
          <w:name w:val="General"/>
          <w:gallery w:val="placeholder"/>
        </w:category>
        <w:types>
          <w:type w:val="bbPlcHdr"/>
        </w:types>
        <w:behaviors>
          <w:behavior w:val="content"/>
        </w:behaviors>
        <w:guid w:val="{4315D9AF-9558-8248-9814-DE40DB4B7457}"/>
      </w:docPartPr>
      <w:docPartBody>
        <w:p w:rsidR="00F65356" w:rsidRDefault="00525F9F">
          <w:pPr>
            <w:pStyle w:val="C649CC853F4EC346A53EA1F914141691"/>
          </w:pPr>
          <w:r>
            <w:rPr>
              <w:rStyle w:val="PlaceholderText"/>
            </w:rPr>
            <w:t>[Middle name]</w:t>
          </w:r>
        </w:p>
      </w:docPartBody>
    </w:docPart>
    <w:docPart>
      <w:docPartPr>
        <w:name w:val="E04064587AD18E439186268F55358BC5"/>
        <w:category>
          <w:name w:val="General"/>
          <w:gallery w:val="placeholder"/>
        </w:category>
        <w:types>
          <w:type w:val="bbPlcHdr"/>
        </w:types>
        <w:behaviors>
          <w:behavior w:val="content"/>
        </w:behaviors>
        <w:guid w:val="{77081E12-EDED-1E4E-8E5F-8B03EE95D73B}"/>
      </w:docPartPr>
      <w:docPartBody>
        <w:p w:rsidR="00F65356" w:rsidRDefault="00525F9F">
          <w:pPr>
            <w:pStyle w:val="E04064587AD18E439186268F55358BC5"/>
          </w:pPr>
          <w:r>
            <w:rPr>
              <w:rStyle w:val="PlaceholderText"/>
            </w:rPr>
            <w:t>[Last name]</w:t>
          </w:r>
        </w:p>
      </w:docPartBody>
    </w:docPart>
    <w:docPart>
      <w:docPartPr>
        <w:name w:val="362E10DCCD45254B82598A5CC29D405C"/>
        <w:category>
          <w:name w:val="General"/>
          <w:gallery w:val="placeholder"/>
        </w:category>
        <w:types>
          <w:type w:val="bbPlcHdr"/>
        </w:types>
        <w:behaviors>
          <w:behavior w:val="content"/>
        </w:behaviors>
        <w:guid w:val="{ADC28B47-2C75-CE44-9C84-A2F48FE2AFDE}"/>
      </w:docPartPr>
      <w:docPartBody>
        <w:p w:rsidR="00F65356" w:rsidRDefault="00525F9F">
          <w:pPr>
            <w:pStyle w:val="362E10DCCD45254B82598A5CC29D405C"/>
          </w:pPr>
          <w:r>
            <w:rPr>
              <w:rStyle w:val="PlaceholderText"/>
            </w:rPr>
            <w:t>[Enter your biography]</w:t>
          </w:r>
        </w:p>
      </w:docPartBody>
    </w:docPart>
    <w:docPart>
      <w:docPartPr>
        <w:name w:val="A62061ED68B48247990DC4ECDE16044D"/>
        <w:category>
          <w:name w:val="General"/>
          <w:gallery w:val="placeholder"/>
        </w:category>
        <w:types>
          <w:type w:val="bbPlcHdr"/>
        </w:types>
        <w:behaviors>
          <w:behavior w:val="content"/>
        </w:behaviors>
        <w:guid w:val="{50735D0B-033A-5740-80F7-86FCF4F7A052}"/>
      </w:docPartPr>
      <w:docPartBody>
        <w:p w:rsidR="00F65356" w:rsidRDefault="00525F9F">
          <w:pPr>
            <w:pStyle w:val="A62061ED68B48247990DC4ECDE16044D"/>
          </w:pPr>
          <w:r>
            <w:rPr>
              <w:rStyle w:val="PlaceholderText"/>
            </w:rPr>
            <w:t>[Enter the institution with which you are affiliated]</w:t>
          </w:r>
        </w:p>
      </w:docPartBody>
    </w:docPart>
    <w:docPart>
      <w:docPartPr>
        <w:name w:val="CD5D5EF74E66BA43BF46A49F50702FE0"/>
        <w:category>
          <w:name w:val="General"/>
          <w:gallery w:val="placeholder"/>
        </w:category>
        <w:types>
          <w:type w:val="bbPlcHdr"/>
        </w:types>
        <w:behaviors>
          <w:behavior w:val="content"/>
        </w:behaviors>
        <w:guid w:val="{1626BC30-49FE-A74D-A497-A464C8300AF3}"/>
      </w:docPartPr>
      <w:docPartBody>
        <w:p w:rsidR="00F65356" w:rsidRDefault="00525F9F">
          <w:pPr>
            <w:pStyle w:val="CD5D5EF74E66BA43BF46A49F50702FE0"/>
          </w:pPr>
          <w:r w:rsidRPr="00EF74F7">
            <w:rPr>
              <w:b/>
              <w:color w:val="808080" w:themeColor="background1" w:themeShade="80"/>
            </w:rPr>
            <w:t>[Enter the headword for your article]</w:t>
          </w:r>
        </w:p>
      </w:docPartBody>
    </w:docPart>
    <w:docPart>
      <w:docPartPr>
        <w:name w:val="530227BB2BD7C94A98234D60ED3AE933"/>
        <w:category>
          <w:name w:val="General"/>
          <w:gallery w:val="placeholder"/>
        </w:category>
        <w:types>
          <w:type w:val="bbPlcHdr"/>
        </w:types>
        <w:behaviors>
          <w:behavior w:val="content"/>
        </w:behaviors>
        <w:guid w:val="{2628F526-26D7-0B44-A31C-FE234C7EEC73}"/>
      </w:docPartPr>
      <w:docPartBody>
        <w:p w:rsidR="00F65356" w:rsidRDefault="00525F9F">
          <w:pPr>
            <w:pStyle w:val="530227BB2BD7C94A98234D60ED3AE9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18D2E23CC3854A919757A31876B3EE"/>
        <w:category>
          <w:name w:val="General"/>
          <w:gallery w:val="placeholder"/>
        </w:category>
        <w:types>
          <w:type w:val="bbPlcHdr"/>
        </w:types>
        <w:behaviors>
          <w:behavior w:val="content"/>
        </w:behaviors>
        <w:guid w:val="{64E7F745-E56E-F04C-B5F2-FEFB613040EC}"/>
      </w:docPartPr>
      <w:docPartBody>
        <w:p w:rsidR="00F65356" w:rsidRDefault="00525F9F">
          <w:pPr>
            <w:pStyle w:val="5C18D2E23CC3854A919757A31876B3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457F53B04B28409B6FC60BBE2AAE8C"/>
        <w:category>
          <w:name w:val="General"/>
          <w:gallery w:val="placeholder"/>
        </w:category>
        <w:types>
          <w:type w:val="bbPlcHdr"/>
        </w:types>
        <w:behaviors>
          <w:behavior w:val="content"/>
        </w:behaviors>
        <w:guid w:val="{6B9C8A6E-05A2-DD4D-B417-240B7ECC7A92}"/>
      </w:docPartPr>
      <w:docPartBody>
        <w:p w:rsidR="00F65356" w:rsidRDefault="00525F9F">
          <w:pPr>
            <w:pStyle w:val="06457F53B04B28409B6FC60BBE2AAE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ACA62328476E458342FA7131339FB9"/>
        <w:category>
          <w:name w:val="General"/>
          <w:gallery w:val="placeholder"/>
        </w:category>
        <w:types>
          <w:type w:val="bbPlcHdr"/>
        </w:types>
        <w:behaviors>
          <w:behavior w:val="content"/>
        </w:behaviors>
        <w:guid w:val="{71CFCFD2-76E3-C54E-AD17-E4CCC20679BD}"/>
      </w:docPartPr>
      <w:docPartBody>
        <w:p w:rsidR="00F65356" w:rsidRDefault="00525F9F">
          <w:pPr>
            <w:pStyle w:val="CEACA62328476E458342FA7131339FB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356"/>
    <w:rsid w:val="00525F9F"/>
    <w:rsid w:val="00F653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CE819EF1A8254780F4F0EE0998DAA4">
    <w:name w:val="A3CE819EF1A8254780F4F0EE0998DAA4"/>
  </w:style>
  <w:style w:type="paragraph" w:customStyle="1" w:styleId="8CD86264FAC77942B15D91A2E9E47966">
    <w:name w:val="8CD86264FAC77942B15D91A2E9E47966"/>
  </w:style>
  <w:style w:type="paragraph" w:customStyle="1" w:styleId="C649CC853F4EC346A53EA1F914141691">
    <w:name w:val="C649CC853F4EC346A53EA1F914141691"/>
  </w:style>
  <w:style w:type="paragraph" w:customStyle="1" w:styleId="E04064587AD18E439186268F55358BC5">
    <w:name w:val="E04064587AD18E439186268F55358BC5"/>
  </w:style>
  <w:style w:type="paragraph" w:customStyle="1" w:styleId="362E10DCCD45254B82598A5CC29D405C">
    <w:name w:val="362E10DCCD45254B82598A5CC29D405C"/>
  </w:style>
  <w:style w:type="paragraph" w:customStyle="1" w:styleId="A62061ED68B48247990DC4ECDE16044D">
    <w:name w:val="A62061ED68B48247990DC4ECDE16044D"/>
  </w:style>
  <w:style w:type="paragraph" w:customStyle="1" w:styleId="CD5D5EF74E66BA43BF46A49F50702FE0">
    <w:name w:val="CD5D5EF74E66BA43BF46A49F50702FE0"/>
  </w:style>
  <w:style w:type="paragraph" w:customStyle="1" w:styleId="530227BB2BD7C94A98234D60ED3AE933">
    <w:name w:val="530227BB2BD7C94A98234D60ED3AE933"/>
  </w:style>
  <w:style w:type="paragraph" w:customStyle="1" w:styleId="5C18D2E23CC3854A919757A31876B3EE">
    <w:name w:val="5C18D2E23CC3854A919757A31876B3EE"/>
  </w:style>
  <w:style w:type="paragraph" w:customStyle="1" w:styleId="06457F53B04B28409B6FC60BBE2AAE8C">
    <w:name w:val="06457F53B04B28409B6FC60BBE2AAE8C"/>
  </w:style>
  <w:style w:type="paragraph" w:customStyle="1" w:styleId="CEACA62328476E458342FA7131339FB9">
    <w:name w:val="CEACA62328476E458342FA7131339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Bir08</b:Tag>
    <b:SourceType>Book</b:SourceType>
    <b:Guid>{60B83679-54F1-CC47-8560-BFC08E930638}</b:Guid>
    <b:Author>
      <b:Author>
        <b:NameList>
          <b:Person>
            <b:Last>Bird</b:Last>
            <b:First>Robert</b:First>
          </b:Person>
        </b:NameList>
      </b:Author>
    </b:Author>
    <b:Title>Andrei Tarkovsky: Elements of Cinema</b:Title>
    <b:City>London</b:City>
    <b:Publisher>Reaktion Books</b:Publisher>
    <b:Year>2008</b:Year>
    <b:RefOrder>1</b:RefOrder>
  </b:Source>
  <b:Source>
    <b:Tag>Kov08</b:Tag>
    <b:SourceType>Book</b:SourceType>
    <b:Guid>{2BADFFB5-6725-A548-85D3-A44F8EA2D58D}</b:Guid>
    <b:Author>
      <b:Author>
        <b:NameList>
          <b:Person>
            <b:Last>Kovacs</b:Last>
            <b:First>Andras.</b:First>
          </b:Person>
        </b:NameList>
      </b:Author>
    </b:Author>
    <b:Title>Screening Modernism: European Art Cinema, 1950-1980</b:Title>
    <b:City>Chicago</b:City>
    <b:Publisher>University Of Chicago Press</b:Publisher>
    <b:Year>2008</b:Year>
    <b:RefOrder>2</b:RefOrder>
  </b:Source>
  <b:Source>
    <b:Tag>Gre92</b:Tag>
    <b:SourceType>Book</b:SourceType>
    <b:Guid>{389E29D7-34B8-A948-B3A5-92824BEAAE4A}</b:Guid>
    <b:Author>
      <b:Author>
        <b:NameList>
          <b:Person>
            <b:Last>Green</b:Last>
            <b:First>Peter</b:First>
          </b:Person>
        </b:NameList>
      </b:Author>
    </b:Author>
    <b:Title>Andrei Tarkovsky: The Winding Quest</b:Title>
    <b:City>London</b:City>
    <b:Publisher>Palgrave Macmillan</b:Publisher>
    <b:Year>1992</b:Year>
    <b:RefOrder>3</b:RefOrder>
  </b:Source>
  <b:Source>
    <b:Tag>Joh94</b:Tag>
    <b:SourceType>Book</b:SourceType>
    <b:Guid>{594CADDE-312B-3D48-8D7D-879B9451BBA2}</b:Guid>
    <b:Author>
      <b:Author>
        <b:NameList>
          <b:Person>
            <b:Last>Johnson</b:Last>
            <b:First>Vida,</b:First>
            <b:Middle>and Graham Petrie</b:Middle>
          </b:Person>
        </b:NameList>
      </b:Author>
    </b:Author>
    <b:Title>The Films of Andrei Tarkovsky: A Visual Fugue</b:Title>
    <b:City>Indianapolis</b:City>
    <b:Publisher>Indiana University Press</b:Publisher>
    <b:Year>1994</b:Year>
    <b:RefOrder>4</b:RefOrder>
  </b:Source>
  <b:Source>
    <b:Tag>Tar89</b:Tag>
    <b:SourceType>Book</b:SourceType>
    <b:Guid>{21BBC7B1-DE5B-434F-88FF-685CE4DB4566}</b:Guid>
    <b:Author>
      <b:Author>
        <b:NameList>
          <b:Person>
            <b:Last>Tarkovsky</b:Last>
            <b:First>Andrei</b:First>
          </b:Person>
        </b:NameList>
      </b:Author>
    </b:Author>
    <b:Title>Sculpting in Time: Tarkovsky The Great Russian Filmmaker Discusses His Art.</b:Title>
    <b:City>Austin</b:City>
    <b:Publisher>University of Texas Press</b:Publisher>
    <b:Year>1989</b:Year>
    <b:RefOrder>5</b:RefOrder>
  </b:Source>
  <b:Source>
    <b:Tag>Gue79</b:Tag>
    <b:SourceType>DocumentFromInternetSite</b:SourceType>
    <b:Guid>{8F8E8D4F-E85B-6342-9989-496B89EF1CA5}</b:Guid>
    <b:Author>
      <b:Author>
        <b:NameList>
          <b:Person>
            <b:Last>Guerra</b:Last>
            <b:First>Andrei</b:First>
          </b:Person>
        </b:NameList>
      </b:Author>
    </b:Author>
    <b:Title>Tarkovsky at the Mirror</b:Title>
    <b:Year>1979</b:Year>
    <b:URL>Nostalghia.com.</b:URL>
    <b:RefOrder>6</b:RefOrder>
  </b:Source>
</b:Sources>
</file>

<file path=customXml/itemProps1.xml><?xml version="1.0" encoding="utf-8"?>
<ds:datastoreItem xmlns:ds="http://schemas.openxmlformats.org/officeDocument/2006/customXml" ds:itemID="{66B0D2A0-A17A-B94D-8BE2-A433333AF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2</Pages>
  <Words>786</Words>
  <Characters>4484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2016-01-26T05:41:00Z</dcterms:created>
  <dcterms:modified xsi:type="dcterms:W3CDTF">2016-03-12T02:02:00Z</dcterms:modified>
</cp:coreProperties>
</file>