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7"/>
        <w:gridCol w:w="2627"/>
      </w:tblGrid>
      <w:tr w:rsidR="00837FE7" w:rsidRPr="00837FE7" w14:paraId="062E1154" w14:textId="77777777" w:rsidTr="00837FE7">
        <w:tc>
          <w:tcPr>
            <w:tcW w:w="491" w:type="dxa"/>
            <w:vMerge w:val="restart"/>
            <w:shd w:val="clear" w:color="auto" w:fill="A6A6A6"/>
            <w:textDirection w:val="btLr"/>
          </w:tcPr>
          <w:p w14:paraId="09D1552E"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EBD7F8E"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6D34D1F" w14:textId="77777777" w:rsidR="00B574C9" w:rsidRPr="00837FE7" w:rsidRDefault="00560986" w:rsidP="00837FE7">
            <w:pPr>
              <w:spacing w:after="0" w:line="240" w:lineRule="auto"/>
            </w:pPr>
            <w:r>
              <w:rPr>
                <w:rStyle w:val="PlaceholderText"/>
              </w:rPr>
              <w:t>Katharine</w:t>
            </w:r>
          </w:p>
        </w:tc>
        <w:tc>
          <w:tcPr>
            <w:tcW w:w="2551" w:type="dxa"/>
            <w:shd w:val="clear" w:color="auto" w:fill="auto"/>
          </w:tcPr>
          <w:p w14:paraId="73424C44"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5174BAC6" w14:textId="77777777" w:rsidR="00B574C9" w:rsidRPr="00837FE7" w:rsidRDefault="00560986" w:rsidP="00837FE7">
            <w:pPr>
              <w:spacing w:after="0" w:line="240" w:lineRule="auto"/>
            </w:pPr>
            <w:proofErr w:type="spellStart"/>
            <w:r>
              <w:rPr>
                <w:rStyle w:val="PlaceholderText"/>
              </w:rPr>
              <w:t>Cockin</w:t>
            </w:r>
            <w:proofErr w:type="spellEnd"/>
          </w:p>
        </w:tc>
      </w:tr>
      <w:tr w:rsidR="00837FE7" w:rsidRPr="00837FE7" w14:paraId="2F61A903" w14:textId="77777777" w:rsidTr="00837FE7">
        <w:trPr>
          <w:trHeight w:val="986"/>
        </w:trPr>
        <w:tc>
          <w:tcPr>
            <w:tcW w:w="491" w:type="dxa"/>
            <w:vMerge/>
            <w:shd w:val="clear" w:color="auto" w:fill="A6A6A6"/>
          </w:tcPr>
          <w:p w14:paraId="305B7D5D"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0E514F4"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603DD34" w14:textId="77777777" w:rsidTr="00837FE7">
        <w:trPr>
          <w:trHeight w:val="986"/>
        </w:trPr>
        <w:tc>
          <w:tcPr>
            <w:tcW w:w="491" w:type="dxa"/>
            <w:vMerge/>
            <w:shd w:val="clear" w:color="auto" w:fill="A6A6A6"/>
          </w:tcPr>
          <w:p w14:paraId="509D9FCC"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A08286E" w14:textId="77777777" w:rsidR="00B574C9" w:rsidRPr="00837FE7" w:rsidRDefault="00560986" w:rsidP="00837FE7">
            <w:pPr>
              <w:spacing w:after="0" w:line="240" w:lineRule="auto"/>
            </w:pPr>
            <w:r>
              <w:rPr>
                <w:rStyle w:val="PlaceholderText"/>
              </w:rPr>
              <w:t>University of Hull</w:t>
            </w:r>
          </w:p>
        </w:tc>
      </w:tr>
    </w:tbl>
    <w:p w14:paraId="4D49D42E"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3B1D36FC" w14:textId="77777777" w:rsidTr="00837FE7">
        <w:tc>
          <w:tcPr>
            <w:tcW w:w="9016" w:type="dxa"/>
            <w:shd w:val="clear" w:color="auto" w:fill="A6A6A6"/>
            <w:tcMar>
              <w:top w:w="113" w:type="dxa"/>
              <w:bottom w:w="113" w:type="dxa"/>
            </w:tcMar>
          </w:tcPr>
          <w:p w14:paraId="245DBCB5"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40F6C08A" w14:textId="77777777" w:rsidTr="00837FE7">
        <w:tc>
          <w:tcPr>
            <w:tcW w:w="9016" w:type="dxa"/>
            <w:shd w:val="clear" w:color="auto" w:fill="auto"/>
            <w:tcMar>
              <w:top w:w="113" w:type="dxa"/>
              <w:bottom w:w="113" w:type="dxa"/>
            </w:tcMar>
          </w:tcPr>
          <w:p w14:paraId="6AD3231B" w14:textId="77777777" w:rsidR="003F0D73" w:rsidRPr="00E06B87" w:rsidRDefault="00560986" w:rsidP="00837FE7">
            <w:pPr>
              <w:spacing w:after="0" w:line="240" w:lineRule="auto"/>
              <w:rPr>
                <w:b/>
                <w:color w:val="000000"/>
              </w:rPr>
            </w:pPr>
            <w:r w:rsidRPr="00560986">
              <w:rPr>
                <w:b/>
                <w:color w:val="000000"/>
                <w:lang w:val="en-US"/>
              </w:rPr>
              <w:t>The Pioneer Players</w:t>
            </w:r>
            <w:r w:rsidRPr="00560986">
              <w:rPr>
                <w:color w:val="000000"/>
                <w:lang w:val="en-US"/>
              </w:rPr>
              <w:t xml:space="preserve"> </w:t>
            </w:r>
            <w:r w:rsidRPr="00560986">
              <w:rPr>
                <w:b/>
                <w:color w:val="000000"/>
                <w:lang w:val="en-US"/>
              </w:rPr>
              <w:t>(1911-25)</w:t>
            </w:r>
          </w:p>
        </w:tc>
      </w:tr>
      <w:tr w:rsidR="00464699" w:rsidRPr="00837FE7" w14:paraId="5CBBFA94" w14:textId="77777777" w:rsidTr="00837FE7">
        <w:tc>
          <w:tcPr>
            <w:tcW w:w="9016" w:type="dxa"/>
            <w:shd w:val="clear" w:color="auto" w:fill="auto"/>
            <w:tcMar>
              <w:top w:w="113" w:type="dxa"/>
              <w:bottom w:w="113" w:type="dxa"/>
            </w:tcMar>
          </w:tcPr>
          <w:p w14:paraId="5545402E"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47FC9660" w14:textId="77777777" w:rsidTr="00837FE7">
        <w:tc>
          <w:tcPr>
            <w:tcW w:w="9016" w:type="dxa"/>
            <w:shd w:val="clear" w:color="auto" w:fill="auto"/>
            <w:tcMar>
              <w:top w:w="113" w:type="dxa"/>
              <w:bottom w:w="113" w:type="dxa"/>
            </w:tcMar>
          </w:tcPr>
          <w:p w14:paraId="3288DFC0" w14:textId="77777777" w:rsidR="00E85A05" w:rsidRPr="00E06B87" w:rsidRDefault="00560986" w:rsidP="00837FE7">
            <w:pPr>
              <w:spacing w:after="0" w:line="240" w:lineRule="auto"/>
              <w:rPr>
                <w:color w:val="000000"/>
              </w:rPr>
            </w:pPr>
            <w:r w:rsidRPr="00560986">
              <w:rPr>
                <w:color w:val="000000"/>
                <w:lang w:val="en-US"/>
              </w:rPr>
              <w:t>Led by director Edith Craig, with her mother Ellen Terry as president, the Pioneer Players theatre society was founded on 11 May 1911 in London with the aim of staging the play of ideas. As a play-producing subscription society following the model of the much larger Stage Society and earlier New Century and Independent Theatre societies, the Pioneer Players’ innovative productions of controversial drama for its members were deemed to be private and thereby technically evaded the Lord Chamberlain’s licensing powers.</w:t>
            </w:r>
          </w:p>
        </w:tc>
      </w:tr>
      <w:tr w:rsidR="003F0D73" w:rsidRPr="00837FE7" w14:paraId="4512CE14" w14:textId="77777777" w:rsidTr="00837FE7">
        <w:tc>
          <w:tcPr>
            <w:tcW w:w="9016" w:type="dxa"/>
            <w:shd w:val="clear" w:color="auto" w:fill="auto"/>
            <w:tcMar>
              <w:top w:w="113" w:type="dxa"/>
              <w:bottom w:w="113" w:type="dxa"/>
            </w:tcMar>
          </w:tcPr>
          <w:p w14:paraId="4021C19C" w14:textId="77777777" w:rsidR="00560986" w:rsidRDefault="00560986" w:rsidP="00560986">
            <w:pPr>
              <w:spacing w:after="0" w:line="240" w:lineRule="auto"/>
              <w:rPr>
                <w:color w:val="000000"/>
                <w:lang w:val="en-US"/>
              </w:rPr>
            </w:pPr>
            <w:r w:rsidRPr="00560986">
              <w:rPr>
                <w:color w:val="000000"/>
                <w:lang w:val="en-US"/>
              </w:rPr>
              <w:t xml:space="preserve">Led by director Edith Craig, with her mother Ellen Terry as president, the Pioneer Players theatre society was founded on 11 May 1911 in London with the aim of staging the play of ideas. As a play-producing subscription society following the model of the much larger Stage Society and earlier New Century and Independent Theatre societies, the Pioneer Players’ innovative productions of controversial drama for its members were deemed to be private and thereby technically evaded the Lord </w:t>
            </w:r>
            <w:r w:rsidR="004341C6">
              <w:rPr>
                <w:color w:val="000000"/>
                <w:lang w:val="en-US"/>
              </w:rPr>
              <w:t>Chamberlain’s licensing powers.</w:t>
            </w:r>
          </w:p>
          <w:p w14:paraId="6A0D4441" w14:textId="77777777" w:rsidR="004341C6" w:rsidRDefault="004341C6" w:rsidP="00560986">
            <w:pPr>
              <w:spacing w:after="0" w:line="240" w:lineRule="auto"/>
              <w:rPr>
                <w:color w:val="000000"/>
                <w:lang w:val="en-US"/>
              </w:rPr>
            </w:pPr>
          </w:p>
          <w:p w14:paraId="1A004F80" w14:textId="77777777" w:rsidR="00434A3C" w:rsidRDefault="004341C6" w:rsidP="00434A3C">
            <w:pPr>
              <w:keepNext/>
              <w:spacing w:after="0" w:line="240" w:lineRule="auto"/>
            </w:pPr>
            <w:r>
              <w:rPr>
                <w:color w:val="000000"/>
                <w:lang w:val="en-US"/>
              </w:rPr>
              <w:t>File: Tatler.jpg</w:t>
            </w:r>
          </w:p>
          <w:p w14:paraId="18F6ABD5" w14:textId="77777777" w:rsidR="004341C6" w:rsidRDefault="00434A3C" w:rsidP="00434A3C">
            <w:pPr>
              <w:pStyle w:val="Caption"/>
              <w:spacing w:after="0"/>
              <w:rPr>
                <w:color w:val="000000"/>
                <w:lang w:val="en-US"/>
              </w:rPr>
            </w:pPr>
            <w:r>
              <w:t xml:space="preserve">Figure </w:t>
            </w:r>
            <w:r>
              <w:fldChar w:fldCharType="begin"/>
            </w:r>
            <w:r>
              <w:instrText xml:space="preserve"> SEQ Figure \* ARABIC </w:instrText>
            </w:r>
            <w:r>
              <w:fldChar w:fldCharType="separate"/>
            </w:r>
            <w:r w:rsidR="00BC4688">
              <w:rPr>
                <w:noProof/>
              </w:rPr>
              <w:t>1</w:t>
            </w:r>
            <w:r>
              <w:fldChar w:fldCharType="end"/>
            </w:r>
            <w:r>
              <w:t xml:space="preserve">. </w:t>
            </w:r>
            <w:r w:rsidRPr="00AD3F38">
              <w:t xml:space="preserve">‘The Pioneer Players’ </w:t>
            </w:r>
            <w:proofErr w:type="spellStart"/>
            <w:r w:rsidRPr="00AD3F38">
              <w:t>Mi-carême</w:t>
            </w:r>
            <w:proofErr w:type="spellEnd"/>
            <w:r w:rsidRPr="00AD3F38">
              <w:t xml:space="preserve"> B</w:t>
            </w:r>
            <w:r>
              <w:t xml:space="preserve">all’, The </w:t>
            </w:r>
            <w:proofErr w:type="spellStart"/>
            <w:r>
              <w:t>Tatler</w:t>
            </w:r>
            <w:proofErr w:type="spellEnd"/>
            <w:r>
              <w:t>, 25 March 1914</w:t>
            </w:r>
          </w:p>
          <w:p w14:paraId="4A2AC50C" w14:textId="77777777" w:rsidR="004341C6" w:rsidRPr="00560986" w:rsidRDefault="00D17D5F" w:rsidP="00437289">
            <w:pPr>
              <w:pStyle w:val="Authornote"/>
              <w:rPr>
                <w:lang w:val="en-US"/>
              </w:rPr>
            </w:pPr>
            <w:r>
              <w:rPr>
                <w:lang w:val="en-US"/>
              </w:rPr>
              <w:t xml:space="preserve">Source: </w:t>
            </w:r>
            <w:r w:rsidR="001C2A46" w:rsidRPr="001C2A46">
              <w:rPr>
                <w:lang w:val="en-US"/>
              </w:rPr>
              <w:t xml:space="preserve">Katharine </w:t>
            </w:r>
            <w:proofErr w:type="spellStart"/>
            <w:r>
              <w:rPr>
                <w:lang w:val="en-US"/>
              </w:rPr>
              <w:t>Cockin</w:t>
            </w:r>
            <w:proofErr w:type="spellEnd"/>
            <w:r>
              <w:rPr>
                <w:lang w:val="en-US"/>
              </w:rPr>
              <w:t>.</w:t>
            </w:r>
            <w:r w:rsidR="00437289">
              <w:rPr>
                <w:lang w:val="en-US"/>
              </w:rPr>
              <w:t xml:space="preserve"> Author’s note: ‘T</w:t>
            </w:r>
            <w:r w:rsidR="001C2A46" w:rsidRPr="001C2A46">
              <w:rPr>
                <w:lang w:val="en-US"/>
              </w:rPr>
              <w:t>his is my photograph of a press cutting in the Pioneer Players press cuttings album given to me by Raymond Mason and now held in the Hi</w:t>
            </w:r>
            <w:r w:rsidR="00437289">
              <w:rPr>
                <w:lang w:val="en-US"/>
              </w:rPr>
              <w:t>story Centre, Hull’.</w:t>
            </w:r>
          </w:p>
          <w:p w14:paraId="65D63FD0" w14:textId="77777777" w:rsidR="00560986" w:rsidRPr="00560986" w:rsidRDefault="00560986" w:rsidP="00560986">
            <w:pPr>
              <w:spacing w:after="0" w:line="240" w:lineRule="auto"/>
              <w:rPr>
                <w:color w:val="000000"/>
                <w:lang w:val="en-US"/>
              </w:rPr>
            </w:pPr>
          </w:p>
          <w:p w14:paraId="675B0253" w14:textId="77777777" w:rsidR="00560986" w:rsidRDefault="00560986" w:rsidP="00560986">
            <w:pPr>
              <w:spacing w:after="0" w:line="240" w:lineRule="auto"/>
              <w:rPr>
                <w:color w:val="000000"/>
                <w:lang w:val="en-US"/>
              </w:rPr>
            </w:pPr>
            <w:r w:rsidRPr="00560986">
              <w:rPr>
                <w:color w:val="000000"/>
                <w:lang w:val="en-US"/>
              </w:rPr>
              <w:t xml:space="preserve">The company’s staging of plays was reliant on resourcefulness and serendipity, making use of loaned theatres and the generosity of dramatists and actors. Usually given a maximum of two performances, the productions became showcases for new talent, as well as occasions to generate debate. After performances of Laurence Housman’s </w:t>
            </w:r>
            <w:r w:rsidRPr="00560986">
              <w:rPr>
                <w:i/>
                <w:color w:val="000000"/>
                <w:lang w:val="en-US"/>
              </w:rPr>
              <w:t>Pains and Penalties</w:t>
            </w:r>
            <w:r w:rsidRPr="00560986">
              <w:rPr>
                <w:color w:val="000000"/>
                <w:lang w:val="en-US"/>
              </w:rPr>
              <w:t xml:space="preserve"> in 1911 and Christopher St John and Charles </w:t>
            </w:r>
            <w:proofErr w:type="spellStart"/>
            <w:r w:rsidRPr="00560986">
              <w:rPr>
                <w:color w:val="000000"/>
                <w:lang w:val="en-US"/>
              </w:rPr>
              <w:t>Thursby’s</w:t>
            </w:r>
            <w:proofErr w:type="spellEnd"/>
            <w:r w:rsidRPr="00560986">
              <w:rPr>
                <w:color w:val="000000"/>
                <w:lang w:val="en-US"/>
              </w:rPr>
              <w:t xml:space="preserve"> </w:t>
            </w:r>
            <w:proofErr w:type="gramStart"/>
            <w:r w:rsidRPr="00560986">
              <w:rPr>
                <w:i/>
                <w:color w:val="000000"/>
                <w:lang w:val="en-US"/>
              </w:rPr>
              <w:t>The</w:t>
            </w:r>
            <w:proofErr w:type="gramEnd"/>
            <w:r w:rsidRPr="00560986">
              <w:rPr>
                <w:i/>
                <w:color w:val="000000"/>
                <w:lang w:val="en-US"/>
              </w:rPr>
              <w:t xml:space="preserve"> Coronation</w:t>
            </w:r>
            <w:r w:rsidRPr="00560986">
              <w:rPr>
                <w:color w:val="000000"/>
                <w:lang w:val="en-US"/>
              </w:rPr>
              <w:t xml:space="preserve"> in 1912, the audience was enlisted to join the anti-censorship campaign. Plays such as </w:t>
            </w:r>
            <w:r w:rsidRPr="00560986">
              <w:rPr>
                <w:i/>
                <w:color w:val="000000"/>
                <w:lang w:val="en-US"/>
              </w:rPr>
              <w:t>Race Suicide</w:t>
            </w:r>
            <w:r w:rsidRPr="00560986">
              <w:rPr>
                <w:color w:val="000000"/>
                <w:lang w:val="en-US"/>
              </w:rPr>
              <w:t xml:space="preserve"> by Hamilton Fyfe (1912), </w:t>
            </w:r>
            <w:r w:rsidRPr="00560986">
              <w:rPr>
                <w:i/>
                <w:color w:val="000000"/>
                <w:lang w:val="en-US"/>
              </w:rPr>
              <w:t xml:space="preserve">The Patience of the Sea </w:t>
            </w:r>
            <w:r w:rsidRPr="00560986">
              <w:rPr>
                <w:color w:val="000000"/>
                <w:lang w:val="en-US"/>
              </w:rPr>
              <w:t xml:space="preserve">by </w:t>
            </w:r>
            <w:proofErr w:type="spellStart"/>
            <w:r w:rsidRPr="00560986">
              <w:rPr>
                <w:color w:val="000000"/>
                <w:lang w:val="en-US"/>
              </w:rPr>
              <w:t>Conal</w:t>
            </w:r>
            <w:proofErr w:type="spellEnd"/>
            <w:r w:rsidRPr="00560986">
              <w:rPr>
                <w:color w:val="000000"/>
                <w:lang w:val="en-US"/>
              </w:rPr>
              <w:t xml:space="preserve"> </w:t>
            </w:r>
            <w:proofErr w:type="spellStart"/>
            <w:r w:rsidRPr="00560986">
              <w:rPr>
                <w:color w:val="000000"/>
                <w:lang w:val="en-US"/>
              </w:rPr>
              <w:t>O’Riordan</w:t>
            </w:r>
            <w:proofErr w:type="spellEnd"/>
            <w:r w:rsidRPr="00560986">
              <w:rPr>
                <w:color w:val="000000"/>
                <w:lang w:val="en-US"/>
              </w:rPr>
              <w:t xml:space="preserve"> (1914), and </w:t>
            </w:r>
            <w:r w:rsidRPr="00560986">
              <w:rPr>
                <w:i/>
                <w:color w:val="000000"/>
                <w:lang w:val="en-US"/>
              </w:rPr>
              <w:t>Idle Women</w:t>
            </w:r>
            <w:r w:rsidRPr="00560986">
              <w:rPr>
                <w:color w:val="000000"/>
                <w:lang w:val="en-US"/>
              </w:rPr>
              <w:t xml:space="preserve"> by Magdalen </w:t>
            </w:r>
            <w:proofErr w:type="spellStart"/>
            <w:r w:rsidRPr="00560986">
              <w:rPr>
                <w:color w:val="000000"/>
                <w:lang w:val="en-US"/>
              </w:rPr>
              <w:t>Ponsonby</w:t>
            </w:r>
            <w:proofErr w:type="spellEnd"/>
            <w:r w:rsidRPr="00560986">
              <w:rPr>
                <w:color w:val="000000"/>
                <w:lang w:val="en-US"/>
              </w:rPr>
              <w:t xml:space="preserve"> (1914) appealed to a shared sense of </w:t>
            </w:r>
            <w:proofErr w:type="spellStart"/>
            <w:r w:rsidRPr="00560986">
              <w:rPr>
                <w:color w:val="000000"/>
                <w:lang w:val="en-US"/>
              </w:rPr>
              <w:t>humour</w:t>
            </w:r>
            <w:proofErr w:type="spellEnd"/>
            <w:r w:rsidRPr="00560986">
              <w:rPr>
                <w:color w:val="000000"/>
                <w:lang w:val="en-US"/>
              </w:rPr>
              <w:t xml:space="preserve"> in mocking fads, earnest radicals, and reformers. The Pioneer Players also organized at least two costume balls.</w:t>
            </w:r>
          </w:p>
          <w:p w14:paraId="29751C58" w14:textId="77777777" w:rsidR="004341C6" w:rsidRDefault="004341C6" w:rsidP="00560986">
            <w:pPr>
              <w:spacing w:after="0" w:line="240" w:lineRule="auto"/>
              <w:rPr>
                <w:color w:val="000000"/>
                <w:lang w:val="en-US"/>
              </w:rPr>
            </w:pPr>
          </w:p>
          <w:p w14:paraId="0CCD2EEB" w14:textId="77777777" w:rsidR="00BC4688" w:rsidRDefault="004341C6" w:rsidP="00BC4688">
            <w:pPr>
              <w:keepNext/>
              <w:spacing w:after="0" w:line="240" w:lineRule="auto"/>
            </w:pPr>
            <w:r>
              <w:rPr>
                <w:color w:val="000000"/>
                <w:lang w:val="en-US"/>
              </w:rPr>
              <w:t>File: Actress.jpg</w:t>
            </w:r>
          </w:p>
          <w:p w14:paraId="368DA3C5" w14:textId="77777777" w:rsidR="004341C6" w:rsidRDefault="00BC4688" w:rsidP="00BC4688">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01128">
              <w:t>The Pioneer Players’ production of The First Actress by Christopher St. John,</w:t>
            </w:r>
            <w:r>
              <w:t xml:space="preserve"> Kingsway Theatre, London, 1911</w:t>
            </w:r>
          </w:p>
          <w:p w14:paraId="72D09175" w14:textId="77777777" w:rsidR="004341C6" w:rsidRDefault="004341C6" w:rsidP="00560986">
            <w:pPr>
              <w:spacing w:after="0" w:line="240" w:lineRule="auto"/>
              <w:rPr>
                <w:color w:val="000000"/>
                <w:lang w:val="en-US"/>
              </w:rPr>
            </w:pPr>
            <w:r>
              <w:rPr>
                <w:color w:val="000000"/>
                <w:lang w:val="en-US"/>
              </w:rPr>
              <w:t xml:space="preserve">Source: </w:t>
            </w:r>
            <w:hyperlink r:id="rId8" w:history="1">
              <w:r w:rsidR="00437289" w:rsidRPr="00ED27F0">
                <w:rPr>
                  <w:rStyle w:val="Hyperlink"/>
                  <w:lang w:val="en-US"/>
                </w:rPr>
                <w:t>http://www.vam.ac.uk/content/articles/p/political-theatre-in-the-early-20th-cent</w:t>
              </w:r>
              <w:r w:rsidR="00437289" w:rsidRPr="00ED27F0">
                <w:rPr>
                  <w:rStyle w:val="Hyperlink"/>
                  <w:lang w:val="en-US"/>
                </w:rPr>
                <w:t>u</w:t>
              </w:r>
              <w:r w:rsidR="00437289" w:rsidRPr="00ED27F0">
                <w:rPr>
                  <w:rStyle w:val="Hyperlink"/>
                  <w:lang w:val="en-US"/>
                </w:rPr>
                <w:t>ry/</w:t>
              </w:r>
            </w:hyperlink>
          </w:p>
          <w:p w14:paraId="46692DFD" w14:textId="77777777" w:rsidR="00437289" w:rsidRPr="00560986" w:rsidRDefault="00437289" w:rsidP="00560986">
            <w:pPr>
              <w:spacing w:after="0" w:line="240" w:lineRule="auto"/>
              <w:rPr>
                <w:color w:val="000000"/>
                <w:lang w:val="en-US"/>
              </w:rPr>
            </w:pPr>
          </w:p>
          <w:p w14:paraId="4C161FBF" w14:textId="77777777" w:rsidR="00560986" w:rsidRPr="00560986" w:rsidRDefault="00560986" w:rsidP="00560986">
            <w:pPr>
              <w:spacing w:after="0" w:line="240" w:lineRule="auto"/>
              <w:rPr>
                <w:color w:val="000000"/>
                <w:lang w:val="en-US"/>
              </w:rPr>
            </w:pPr>
          </w:p>
          <w:p w14:paraId="07CCBE41" w14:textId="77777777" w:rsidR="00560986" w:rsidRPr="00560986" w:rsidRDefault="00560986" w:rsidP="00560986">
            <w:pPr>
              <w:spacing w:after="0" w:line="240" w:lineRule="auto"/>
              <w:rPr>
                <w:color w:val="000000"/>
                <w:lang w:val="en-US"/>
              </w:rPr>
            </w:pPr>
            <w:r w:rsidRPr="00560986">
              <w:rPr>
                <w:color w:val="000000"/>
                <w:lang w:val="en-US"/>
              </w:rPr>
              <w:t xml:space="preserve">Modernist in its mode of production, the society was eclectic in its choice of plays, though in the first few years of activity many were concerned with women’s independence and the campaign for women’s suffrage. The issue of votes for women was not always directly mentioned in the plays, but there was often a close engagement with the wider arguments for social reform and feminism that were part of the women’s suffrage movement, for example, equality in work and marriage and the causes and effects of prostitution. The choice of name for the </w:t>
            </w:r>
            <w:proofErr w:type="spellStart"/>
            <w:r w:rsidRPr="00560986">
              <w:rPr>
                <w:color w:val="000000"/>
                <w:lang w:val="en-US"/>
              </w:rPr>
              <w:t>organisation</w:t>
            </w:r>
            <w:proofErr w:type="spellEnd"/>
            <w:r w:rsidRPr="00560986">
              <w:rPr>
                <w:color w:val="000000"/>
                <w:lang w:val="en-US"/>
              </w:rPr>
              <w:t xml:space="preserve"> was particularly resonant in this period, signifying courageous innovation by drawing on metaphors of military conquest. The French </w:t>
            </w:r>
            <w:proofErr w:type="spellStart"/>
            <w:r w:rsidRPr="00560986">
              <w:rPr>
                <w:i/>
                <w:color w:val="000000"/>
                <w:lang w:val="en-US"/>
              </w:rPr>
              <w:t>pionnier</w:t>
            </w:r>
            <w:proofErr w:type="spellEnd"/>
            <w:r w:rsidRPr="00560986">
              <w:rPr>
                <w:color w:val="000000"/>
                <w:lang w:val="en-US"/>
              </w:rPr>
              <w:t xml:space="preserve"> is a foot soldier who breaks new ground for the following troops. In women’s suffrage publications, ‘pioneer’ was often synonymous with ‘feminist’. A significant number of activists in the Women’s Freedom League, including Edith Craig and Cicely Hamilton, were also at the </w:t>
            </w:r>
            <w:proofErr w:type="spellStart"/>
            <w:r w:rsidRPr="00560986">
              <w:rPr>
                <w:color w:val="000000"/>
                <w:lang w:val="en-US"/>
              </w:rPr>
              <w:t>centre</w:t>
            </w:r>
            <w:proofErr w:type="spellEnd"/>
            <w:r w:rsidRPr="00560986">
              <w:rPr>
                <w:color w:val="000000"/>
                <w:lang w:val="en-US"/>
              </w:rPr>
              <w:t xml:space="preserve"> of the Pioneer Players.</w:t>
            </w:r>
          </w:p>
          <w:p w14:paraId="54AB6B40" w14:textId="77777777" w:rsidR="00560986" w:rsidRPr="00560986" w:rsidRDefault="00560986" w:rsidP="00560986">
            <w:pPr>
              <w:spacing w:after="0" w:line="240" w:lineRule="auto"/>
              <w:rPr>
                <w:color w:val="000000"/>
                <w:lang w:val="en-US"/>
              </w:rPr>
            </w:pPr>
          </w:p>
          <w:p w14:paraId="4F3E5376" w14:textId="77777777" w:rsidR="00560986" w:rsidRPr="00560986" w:rsidRDefault="00560986" w:rsidP="00560986">
            <w:pPr>
              <w:spacing w:after="0" w:line="240" w:lineRule="auto"/>
              <w:rPr>
                <w:color w:val="000000"/>
                <w:lang w:val="en-US"/>
              </w:rPr>
            </w:pPr>
            <w:r w:rsidRPr="00560986">
              <w:rPr>
                <w:color w:val="000000"/>
                <w:lang w:val="en-US"/>
              </w:rPr>
              <w:t xml:space="preserve">The impact of the First World War on theatre was considerable, and it affected theatre societies as subscribers </w:t>
            </w:r>
            <w:proofErr w:type="spellStart"/>
            <w:r w:rsidRPr="00560986">
              <w:rPr>
                <w:color w:val="000000"/>
                <w:lang w:val="en-US"/>
              </w:rPr>
              <w:t>economised</w:t>
            </w:r>
            <w:proofErr w:type="spellEnd"/>
            <w:r w:rsidRPr="00560986">
              <w:rPr>
                <w:color w:val="000000"/>
                <w:lang w:val="en-US"/>
              </w:rPr>
              <w:t xml:space="preserve"> and felt uncomfortable about gaining a reputation for frivolity in a time of austerity. The Pioneer Players rose to this challenge by concentrating their energies on the establishment of an art theatre, producing many works in translation, including Nikolai </w:t>
            </w:r>
            <w:proofErr w:type="spellStart"/>
            <w:r w:rsidRPr="00560986">
              <w:rPr>
                <w:color w:val="000000"/>
                <w:lang w:val="en-US"/>
              </w:rPr>
              <w:t>Evreinov’s</w:t>
            </w:r>
            <w:proofErr w:type="spellEnd"/>
            <w:r w:rsidRPr="00560986">
              <w:rPr>
                <w:color w:val="000000"/>
                <w:lang w:val="en-US"/>
              </w:rPr>
              <w:t xml:space="preserve"> expressionist play </w:t>
            </w:r>
            <w:r w:rsidRPr="00560986">
              <w:rPr>
                <w:i/>
                <w:color w:val="000000"/>
                <w:lang w:val="en-US"/>
              </w:rPr>
              <w:t xml:space="preserve">The Theatre of the Soul </w:t>
            </w:r>
            <w:r w:rsidRPr="00560986">
              <w:rPr>
                <w:color w:val="000000"/>
                <w:lang w:val="en-US"/>
              </w:rPr>
              <w:t xml:space="preserve">in 1915. Other plays challenged the limits of naturalism, gendering the claustrophobic confines of the domestic interior and even depicting marriage rejection and violence as a relevant and appropriate response by women in the period before enfranchisement. The society was revived in 1925 after a couple of inactive years, encouraged by Sybil Thorndike who starred in </w:t>
            </w:r>
            <w:r w:rsidRPr="00560986">
              <w:rPr>
                <w:i/>
                <w:color w:val="000000"/>
                <w:lang w:val="en-US"/>
              </w:rPr>
              <w:t>The Verge</w:t>
            </w:r>
            <w:r w:rsidRPr="00560986">
              <w:rPr>
                <w:color w:val="000000"/>
                <w:lang w:val="en-US"/>
              </w:rPr>
              <w:t xml:space="preserve"> by Susan Glaspell.</w:t>
            </w:r>
          </w:p>
          <w:p w14:paraId="2514AE36" w14:textId="77777777" w:rsidR="00560986" w:rsidRPr="00560986" w:rsidRDefault="00560986" w:rsidP="00560986">
            <w:pPr>
              <w:spacing w:after="0" w:line="240" w:lineRule="auto"/>
              <w:rPr>
                <w:color w:val="000000"/>
                <w:lang w:val="en-US"/>
              </w:rPr>
            </w:pPr>
          </w:p>
          <w:p w14:paraId="256C0704" w14:textId="77777777" w:rsidR="00560986" w:rsidRPr="008E48BB" w:rsidRDefault="00560986" w:rsidP="00C74FFE">
            <w:pPr>
              <w:pStyle w:val="Heading1"/>
              <w:spacing w:after="0"/>
              <w:rPr>
                <w:lang w:val="en-US"/>
              </w:rPr>
            </w:pPr>
            <w:r w:rsidRPr="008E48BB">
              <w:rPr>
                <w:lang w:val="en-US"/>
              </w:rPr>
              <w:t>List of Works</w:t>
            </w:r>
          </w:p>
          <w:p w14:paraId="3C55DD2D" w14:textId="77777777" w:rsidR="003F0D73" w:rsidRPr="00E06B87" w:rsidRDefault="00560986" w:rsidP="00560986">
            <w:pPr>
              <w:spacing w:after="0" w:line="240" w:lineRule="auto"/>
              <w:rPr>
                <w:color w:val="000000"/>
              </w:rPr>
            </w:pPr>
            <w:r w:rsidRPr="00560986">
              <w:rPr>
                <w:i/>
                <w:color w:val="000000"/>
                <w:lang w:val="en-US"/>
              </w:rPr>
              <w:t xml:space="preserve">Ellen Terry and Edith Craig Database: A Guide to the Papers from </w:t>
            </w:r>
            <w:proofErr w:type="spellStart"/>
            <w:r w:rsidRPr="00560986">
              <w:rPr>
                <w:i/>
                <w:color w:val="000000"/>
                <w:lang w:val="en-US"/>
              </w:rPr>
              <w:t>Smallhythe</w:t>
            </w:r>
            <w:proofErr w:type="spellEnd"/>
            <w:r w:rsidRPr="00560986">
              <w:rPr>
                <w:i/>
                <w:color w:val="000000"/>
                <w:lang w:val="en-US"/>
              </w:rPr>
              <w:t xml:space="preserve"> Place</w:t>
            </w:r>
            <w:r w:rsidRPr="00560986">
              <w:rPr>
                <w:color w:val="000000"/>
                <w:lang w:val="en-US"/>
              </w:rPr>
              <w:t xml:space="preserve">, </w:t>
            </w:r>
            <w:hyperlink r:id="rId9" w:history="1">
              <w:r w:rsidRPr="008E48BB">
                <w:rPr>
                  <w:rStyle w:val="Hyperlink"/>
                  <w:lang w:val="en-US"/>
                </w:rPr>
                <w:t>www.ellenterryarchive.hull.ac</w:t>
              </w:r>
              <w:bookmarkStart w:id="0" w:name="_GoBack"/>
              <w:bookmarkEnd w:id="0"/>
              <w:r w:rsidRPr="008E48BB">
                <w:rPr>
                  <w:rStyle w:val="Hyperlink"/>
                  <w:lang w:val="en-US"/>
                </w:rPr>
                <w:t>.uk</w:t>
              </w:r>
            </w:hyperlink>
            <w:r w:rsidRPr="00560986">
              <w:rPr>
                <w:color w:val="000000"/>
                <w:lang w:val="en-US"/>
              </w:rPr>
              <w:t>.</w:t>
            </w:r>
            <w:r w:rsidRPr="00560986" w:rsidDel="00BF2569">
              <w:rPr>
                <w:color w:val="000000"/>
                <w:lang w:val="en-US"/>
              </w:rPr>
              <w:t xml:space="preserve"> </w:t>
            </w:r>
            <w:r w:rsidRPr="00560986">
              <w:rPr>
                <w:color w:val="000000"/>
                <w:lang w:val="en-US"/>
              </w:rPr>
              <w:t xml:space="preserve">(This database is a descriptive catalogue of the National Trust’s Ellen Terry and Edith Craig archive of over 20,000 documents, including photographs, play </w:t>
            </w:r>
            <w:proofErr w:type="spellStart"/>
            <w:r w:rsidRPr="00560986">
              <w:rPr>
                <w:color w:val="000000"/>
                <w:lang w:val="en-US"/>
              </w:rPr>
              <w:t>programmes</w:t>
            </w:r>
            <w:proofErr w:type="spellEnd"/>
            <w:r w:rsidRPr="00560986">
              <w:rPr>
                <w:color w:val="000000"/>
                <w:lang w:val="en-US"/>
              </w:rPr>
              <w:t xml:space="preserve">, </w:t>
            </w:r>
            <w:proofErr w:type="spellStart"/>
            <w:r w:rsidRPr="00560986">
              <w:rPr>
                <w:color w:val="000000"/>
                <w:lang w:val="en-US"/>
              </w:rPr>
              <w:t>playscripts</w:t>
            </w:r>
            <w:proofErr w:type="spellEnd"/>
            <w:r w:rsidRPr="00560986">
              <w:rPr>
                <w:color w:val="000000"/>
                <w:lang w:val="en-US"/>
              </w:rPr>
              <w:t xml:space="preserve">, and related press cuttings held at either the British Library, London or </w:t>
            </w:r>
            <w:proofErr w:type="spellStart"/>
            <w:r w:rsidRPr="00560986">
              <w:rPr>
                <w:color w:val="000000"/>
                <w:lang w:val="en-US"/>
              </w:rPr>
              <w:t>Smallhythe</w:t>
            </w:r>
            <w:proofErr w:type="spellEnd"/>
            <w:r w:rsidRPr="00560986">
              <w:rPr>
                <w:color w:val="000000"/>
                <w:lang w:val="en-US"/>
              </w:rPr>
              <w:t xml:space="preserve"> Place, Kent.)</w:t>
            </w:r>
          </w:p>
        </w:tc>
      </w:tr>
      <w:tr w:rsidR="003235A7" w:rsidRPr="00837FE7" w14:paraId="15EF8B38" w14:textId="77777777" w:rsidTr="00837FE7">
        <w:tc>
          <w:tcPr>
            <w:tcW w:w="9016" w:type="dxa"/>
            <w:shd w:val="clear" w:color="auto" w:fill="auto"/>
          </w:tcPr>
          <w:p w14:paraId="7D78C116"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C945172" w14:textId="77777777" w:rsidR="00C74FFE" w:rsidRPr="00C74FFE" w:rsidRDefault="00C51193" w:rsidP="00C74FFE">
            <w:pPr>
              <w:spacing w:after="0" w:line="240" w:lineRule="auto"/>
              <w:rPr>
                <w:color w:val="000000"/>
                <w:lang w:val="en-US"/>
              </w:rPr>
            </w:pPr>
            <w:sdt>
              <w:sdtPr>
                <w:rPr>
                  <w:color w:val="000000"/>
                  <w:lang w:val="en-US"/>
                </w:rPr>
                <w:id w:val="-664015118"/>
                <w:citation/>
              </w:sdtPr>
              <w:sdtEndPr/>
              <w:sdtContent>
                <w:r w:rsidR="0089618B">
                  <w:rPr>
                    <w:color w:val="000000"/>
                    <w:lang w:val="en-US"/>
                  </w:rPr>
                  <w:fldChar w:fldCharType="begin"/>
                </w:r>
                <w:r w:rsidR="0089618B">
                  <w:rPr>
                    <w:noProof/>
                    <w:color w:val="000000"/>
                    <w:lang w:val="en-CA"/>
                  </w:rPr>
                  <w:instrText xml:space="preserve"> CITATION Chi95 \l 4105 </w:instrText>
                </w:r>
                <w:r w:rsidR="0089618B">
                  <w:rPr>
                    <w:color w:val="000000"/>
                    <w:lang w:val="en-US"/>
                  </w:rPr>
                  <w:fldChar w:fldCharType="separate"/>
                </w:r>
                <w:r w:rsidR="0089618B" w:rsidRPr="0089618B">
                  <w:rPr>
                    <w:noProof/>
                    <w:color w:val="000000"/>
                    <w:lang w:val="en-CA"/>
                  </w:rPr>
                  <w:t>(Chiba)</w:t>
                </w:r>
                <w:r w:rsidR="0089618B">
                  <w:rPr>
                    <w:color w:val="000000"/>
                    <w:lang w:val="en-US"/>
                  </w:rPr>
                  <w:fldChar w:fldCharType="end"/>
                </w:r>
              </w:sdtContent>
            </w:sdt>
          </w:p>
          <w:p w14:paraId="01053DFC" w14:textId="77777777" w:rsidR="00C74FFE" w:rsidRPr="00C74FFE" w:rsidRDefault="00C51193" w:rsidP="00C74FFE">
            <w:pPr>
              <w:spacing w:after="0" w:line="240" w:lineRule="auto"/>
              <w:rPr>
                <w:color w:val="000000"/>
                <w:lang w:val="en-US"/>
              </w:rPr>
            </w:pPr>
            <w:sdt>
              <w:sdtPr>
                <w:rPr>
                  <w:color w:val="000000"/>
                  <w:lang w:val="en-US"/>
                </w:rPr>
                <w:id w:val="-1863576998"/>
                <w:citation/>
              </w:sdtPr>
              <w:sdtEndPr/>
              <w:sdtContent>
                <w:r w:rsidR="0089618B">
                  <w:rPr>
                    <w:color w:val="000000"/>
                    <w:lang w:val="en-US"/>
                  </w:rPr>
                  <w:fldChar w:fldCharType="begin"/>
                </w:r>
                <w:r w:rsidR="0089618B">
                  <w:rPr>
                    <w:noProof/>
                    <w:color w:val="000000"/>
                    <w:lang w:val="en-CA"/>
                  </w:rPr>
                  <w:instrText xml:space="preserve"> CITATION Coc98 \l 4105 </w:instrText>
                </w:r>
                <w:r w:rsidR="0089618B">
                  <w:rPr>
                    <w:color w:val="000000"/>
                    <w:lang w:val="en-US"/>
                  </w:rPr>
                  <w:fldChar w:fldCharType="separate"/>
                </w:r>
                <w:r w:rsidR="0089618B" w:rsidRPr="0089618B">
                  <w:rPr>
                    <w:noProof/>
                    <w:color w:val="000000"/>
                    <w:lang w:val="en-CA"/>
                  </w:rPr>
                  <w:t>(Cockin, Edith Craig (1869-1947): Dramatic Lives)</w:t>
                </w:r>
                <w:r w:rsidR="0089618B">
                  <w:rPr>
                    <w:color w:val="000000"/>
                    <w:lang w:val="en-US"/>
                  </w:rPr>
                  <w:fldChar w:fldCharType="end"/>
                </w:r>
              </w:sdtContent>
            </w:sdt>
          </w:p>
          <w:p w14:paraId="4127AF88" w14:textId="77777777" w:rsidR="009827A2" w:rsidRPr="009827A2" w:rsidRDefault="00C51193" w:rsidP="00C74FFE">
            <w:pPr>
              <w:spacing w:after="0" w:line="240" w:lineRule="auto"/>
              <w:rPr>
                <w:noProof/>
                <w:color w:val="000000"/>
                <w:lang w:val="en-CA"/>
              </w:rPr>
            </w:pPr>
            <w:sdt>
              <w:sdtPr>
                <w:rPr>
                  <w:noProof/>
                  <w:color w:val="000000"/>
                  <w:lang w:val="en-CA"/>
                </w:rPr>
                <w:id w:val="-1332760158"/>
                <w:citation/>
              </w:sdtPr>
              <w:sdtEndPr/>
              <w:sdtContent>
                <w:r w:rsidR="0089618B">
                  <w:rPr>
                    <w:noProof/>
                    <w:color w:val="000000"/>
                    <w:lang w:val="en-CA"/>
                  </w:rPr>
                  <w:fldChar w:fldCharType="begin"/>
                </w:r>
                <w:r w:rsidR="0089618B">
                  <w:rPr>
                    <w:noProof/>
                    <w:color w:val="000000"/>
                    <w:lang w:val="en-CA"/>
                  </w:rPr>
                  <w:instrText xml:space="preserve"> CITATION Coc94 \l 4105 </w:instrText>
                </w:r>
                <w:r w:rsidR="0089618B">
                  <w:rPr>
                    <w:noProof/>
                    <w:color w:val="000000"/>
                    <w:lang w:val="en-CA"/>
                  </w:rPr>
                  <w:fldChar w:fldCharType="separate"/>
                </w:r>
                <w:r w:rsidR="0089618B" w:rsidRPr="0089618B">
                  <w:rPr>
                    <w:noProof/>
                    <w:color w:val="000000"/>
                    <w:lang w:val="en-CA"/>
                  </w:rPr>
                  <w:t>(Cockin, The Pioneer Players: Plays of/with Identity)</w:t>
                </w:r>
                <w:r w:rsidR="0089618B">
                  <w:rPr>
                    <w:noProof/>
                    <w:color w:val="000000"/>
                    <w:lang w:val="en-CA"/>
                  </w:rPr>
                  <w:fldChar w:fldCharType="end"/>
                </w:r>
              </w:sdtContent>
            </w:sdt>
          </w:p>
          <w:p w14:paraId="2A85DD15" w14:textId="77777777" w:rsidR="00C74FFE" w:rsidRPr="00C74FFE" w:rsidRDefault="00C51193" w:rsidP="00C74FFE">
            <w:pPr>
              <w:spacing w:after="0" w:line="240" w:lineRule="auto"/>
              <w:rPr>
                <w:color w:val="000000"/>
                <w:lang w:val="en-US"/>
              </w:rPr>
            </w:pPr>
            <w:sdt>
              <w:sdtPr>
                <w:rPr>
                  <w:color w:val="000000"/>
                  <w:lang w:val="en-US"/>
                </w:rPr>
                <w:id w:val="-19856160"/>
                <w:citation/>
              </w:sdtPr>
              <w:sdtEndPr/>
              <w:sdtContent>
                <w:r w:rsidR="0089618B">
                  <w:rPr>
                    <w:color w:val="000000"/>
                    <w:lang w:val="en-US"/>
                  </w:rPr>
                  <w:fldChar w:fldCharType="begin"/>
                </w:r>
                <w:r w:rsidR="0089618B">
                  <w:rPr>
                    <w:noProof/>
                    <w:color w:val="000000"/>
                    <w:lang w:val="en-CA"/>
                  </w:rPr>
                  <w:instrText xml:space="preserve"> CITATION Coc \l 4105 </w:instrText>
                </w:r>
                <w:r w:rsidR="0089618B">
                  <w:rPr>
                    <w:color w:val="000000"/>
                    <w:lang w:val="en-US"/>
                  </w:rPr>
                  <w:fldChar w:fldCharType="separate"/>
                </w:r>
                <w:r w:rsidR="0089618B" w:rsidRPr="0089618B">
                  <w:rPr>
                    <w:noProof/>
                    <w:color w:val="000000"/>
                    <w:lang w:val="en-CA"/>
                  </w:rPr>
                  <w:t>(Cockin, Women and Theatre in the Age of Suffrage: The Pioneer Players 1911-25)</w:t>
                </w:r>
                <w:r w:rsidR="0089618B">
                  <w:rPr>
                    <w:color w:val="000000"/>
                    <w:lang w:val="en-US"/>
                  </w:rPr>
                  <w:fldChar w:fldCharType="end"/>
                </w:r>
              </w:sdtContent>
            </w:sdt>
          </w:p>
          <w:p w14:paraId="6C7F4A6A" w14:textId="77777777" w:rsidR="00C74FFE" w:rsidRPr="00C74FFE" w:rsidRDefault="00C51193" w:rsidP="00C74FFE">
            <w:pPr>
              <w:spacing w:after="0" w:line="240" w:lineRule="auto"/>
              <w:rPr>
                <w:color w:val="000000"/>
                <w:lang w:val="en-US"/>
              </w:rPr>
            </w:pPr>
            <w:sdt>
              <w:sdtPr>
                <w:rPr>
                  <w:color w:val="000000"/>
                  <w:lang w:val="en-US"/>
                </w:rPr>
                <w:id w:val="1221555590"/>
                <w:citation/>
              </w:sdtPr>
              <w:sdtEndPr/>
              <w:sdtContent>
                <w:r w:rsidR="0089618B">
                  <w:rPr>
                    <w:color w:val="000000"/>
                    <w:lang w:val="en-US"/>
                  </w:rPr>
                  <w:fldChar w:fldCharType="begin"/>
                </w:r>
                <w:r w:rsidR="0089618B">
                  <w:rPr>
                    <w:noProof/>
                    <w:color w:val="000000"/>
                    <w:lang w:val="en-CA"/>
                  </w:rPr>
                  <w:instrText xml:space="preserve"> CITATION Dym92 \l 4105 </w:instrText>
                </w:r>
                <w:r w:rsidR="0089618B">
                  <w:rPr>
                    <w:color w:val="000000"/>
                    <w:lang w:val="en-US"/>
                  </w:rPr>
                  <w:fldChar w:fldCharType="separate"/>
                </w:r>
                <w:r w:rsidR="0089618B" w:rsidRPr="0089618B">
                  <w:rPr>
                    <w:noProof/>
                    <w:color w:val="000000"/>
                    <w:lang w:val="en-CA"/>
                  </w:rPr>
                  <w:t>(Dymkowski)</w:t>
                </w:r>
                <w:r w:rsidR="0089618B">
                  <w:rPr>
                    <w:color w:val="000000"/>
                    <w:lang w:val="en-US"/>
                  </w:rPr>
                  <w:fldChar w:fldCharType="end"/>
                </w:r>
              </w:sdtContent>
            </w:sdt>
          </w:p>
          <w:p w14:paraId="6A56B1E7" w14:textId="77777777" w:rsidR="00C74FFE" w:rsidRPr="00C74FFE" w:rsidRDefault="00C51193" w:rsidP="00C74FFE">
            <w:pPr>
              <w:spacing w:after="0" w:line="240" w:lineRule="auto"/>
              <w:rPr>
                <w:color w:val="000000"/>
                <w:lang w:val="en-US"/>
              </w:rPr>
            </w:pPr>
            <w:sdt>
              <w:sdtPr>
                <w:rPr>
                  <w:color w:val="000000"/>
                  <w:lang w:val="en-US"/>
                </w:rPr>
                <w:id w:val="-950466673"/>
                <w:citation/>
              </w:sdtPr>
              <w:sdtEndPr/>
              <w:sdtContent>
                <w:r w:rsidR="0089618B">
                  <w:rPr>
                    <w:color w:val="000000"/>
                    <w:lang w:val="en-US"/>
                  </w:rPr>
                  <w:fldChar w:fldCharType="begin"/>
                </w:r>
                <w:r w:rsidR="0089618B">
                  <w:rPr>
                    <w:noProof/>
                    <w:color w:val="000000"/>
                    <w:lang w:val="en-CA"/>
                  </w:rPr>
                  <w:instrText xml:space="preserve"> CITATION Fis95 \l 4105 </w:instrText>
                </w:r>
                <w:r w:rsidR="0089618B">
                  <w:rPr>
                    <w:color w:val="000000"/>
                    <w:lang w:val="en-US"/>
                  </w:rPr>
                  <w:fldChar w:fldCharType="separate"/>
                </w:r>
                <w:r w:rsidR="0089618B" w:rsidRPr="0089618B">
                  <w:rPr>
                    <w:noProof/>
                    <w:color w:val="000000"/>
                    <w:lang w:val="en-CA"/>
                  </w:rPr>
                  <w:t>(Fisher)</w:t>
                </w:r>
                <w:r w:rsidR="0089618B">
                  <w:rPr>
                    <w:color w:val="000000"/>
                    <w:lang w:val="en-US"/>
                  </w:rPr>
                  <w:fldChar w:fldCharType="end"/>
                </w:r>
              </w:sdtContent>
            </w:sdt>
          </w:p>
          <w:p w14:paraId="1AF3CC41" w14:textId="77777777" w:rsidR="003235A7" w:rsidRPr="00E06B87" w:rsidRDefault="00C51193" w:rsidP="00C74FFE">
            <w:pPr>
              <w:spacing w:after="0" w:line="240" w:lineRule="auto"/>
              <w:rPr>
                <w:color w:val="000000"/>
              </w:rPr>
            </w:pPr>
            <w:sdt>
              <w:sdtPr>
                <w:rPr>
                  <w:color w:val="000000"/>
                </w:rPr>
                <w:id w:val="-1304684755"/>
                <w:citation/>
              </w:sdtPr>
              <w:sdtEndPr/>
              <w:sdtContent>
                <w:r w:rsidR="0089618B">
                  <w:rPr>
                    <w:color w:val="000000"/>
                  </w:rPr>
                  <w:fldChar w:fldCharType="begin"/>
                </w:r>
                <w:r w:rsidR="0089618B">
                  <w:rPr>
                    <w:noProof/>
                    <w:color w:val="000000"/>
                    <w:lang w:val="en-CA"/>
                  </w:rPr>
                  <w:instrText xml:space="preserve"> CITATION Hol81 \l 4105 </w:instrText>
                </w:r>
                <w:r w:rsidR="0089618B">
                  <w:rPr>
                    <w:color w:val="000000"/>
                  </w:rPr>
                  <w:fldChar w:fldCharType="separate"/>
                </w:r>
                <w:r w:rsidR="0089618B" w:rsidRPr="0089618B">
                  <w:rPr>
                    <w:noProof/>
                    <w:color w:val="000000"/>
                    <w:lang w:val="en-CA"/>
                  </w:rPr>
                  <w:t>(Holledge)</w:t>
                </w:r>
                <w:r w:rsidR="0089618B">
                  <w:rPr>
                    <w:color w:val="000000"/>
                  </w:rPr>
                  <w:fldChar w:fldCharType="end"/>
                </w:r>
              </w:sdtContent>
            </w:sdt>
          </w:p>
        </w:tc>
      </w:tr>
    </w:tbl>
    <w:p w14:paraId="21BCA04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98DC1" w14:textId="77777777" w:rsidR="00C51193" w:rsidRDefault="00C51193" w:rsidP="007A0D55">
      <w:pPr>
        <w:spacing w:after="0" w:line="240" w:lineRule="auto"/>
      </w:pPr>
      <w:r>
        <w:separator/>
      </w:r>
    </w:p>
  </w:endnote>
  <w:endnote w:type="continuationSeparator" w:id="0">
    <w:p w14:paraId="7461DF25" w14:textId="77777777" w:rsidR="00C51193" w:rsidRDefault="00C511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46FF6" w14:textId="77777777" w:rsidR="00C51193" w:rsidRDefault="00C51193" w:rsidP="007A0D55">
      <w:pPr>
        <w:spacing w:after="0" w:line="240" w:lineRule="auto"/>
      </w:pPr>
      <w:r>
        <w:separator/>
      </w:r>
    </w:p>
  </w:footnote>
  <w:footnote w:type="continuationSeparator" w:id="0">
    <w:p w14:paraId="5E44162E" w14:textId="77777777" w:rsidR="00C51193" w:rsidRDefault="00C511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4F79C"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D3C050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5EAD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86"/>
    <w:rsid w:val="00032559"/>
    <w:rsid w:val="00052040"/>
    <w:rsid w:val="000B25AE"/>
    <w:rsid w:val="000B55AB"/>
    <w:rsid w:val="000D24DC"/>
    <w:rsid w:val="00101B2E"/>
    <w:rsid w:val="00116FA0"/>
    <w:rsid w:val="0015114C"/>
    <w:rsid w:val="001A21F3"/>
    <w:rsid w:val="001A2537"/>
    <w:rsid w:val="001A6A06"/>
    <w:rsid w:val="001C2A46"/>
    <w:rsid w:val="00210C03"/>
    <w:rsid w:val="002162E2"/>
    <w:rsid w:val="00225C5A"/>
    <w:rsid w:val="00230B10"/>
    <w:rsid w:val="00234353"/>
    <w:rsid w:val="00244BB0"/>
    <w:rsid w:val="002A0A0D"/>
    <w:rsid w:val="002B0B37"/>
    <w:rsid w:val="002C7F5A"/>
    <w:rsid w:val="0030662D"/>
    <w:rsid w:val="003235A7"/>
    <w:rsid w:val="003677B6"/>
    <w:rsid w:val="003D3579"/>
    <w:rsid w:val="003E2795"/>
    <w:rsid w:val="003F0D73"/>
    <w:rsid w:val="004341C6"/>
    <w:rsid w:val="00434A3C"/>
    <w:rsid w:val="00437289"/>
    <w:rsid w:val="00462DBE"/>
    <w:rsid w:val="00464699"/>
    <w:rsid w:val="00483379"/>
    <w:rsid w:val="00487BC5"/>
    <w:rsid w:val="00496888"/>
    <w:rsid w:val="004A7476"/>
    <w:rsid w:val="004E5896"/>
    <w:rsid w:val="00513EE6"/>
    <w:rsid w:val="00534F8F"/>
    <w:rsid w:val="00560986"/>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66257"/>
    <w:rsid w:val="0089618B"/>
    <w:rsid w:val="008A5B87"/>
    <w:rsid w:val="008E48BB"/>
    <w:rsid w:val="0090617F"/>
    <w:rsid w:val="00922950"/>
    <w:rsid w:val="009827A2"/>
    <w:rsid w:val="009A7264"/>
    <w:rsid w:val="009D1606"/>
    <w:rsid w:val="009E18A1"/>
    <w:rsid w:val="009E73D7"/>
    <w:rsid w:val="00A27D2C"/>
    <w:rsid w:val="00A76FD9"/>
    <w:rsid w:val="00AB436D"/>
    <w:rsid w:val="00AD2F24"/>
    <w:rsid w:val="00AD4844"/>
    <w:rsid w:val="00B219AE"/>
    <w:rsid w:val="00B33145"/>
    <w:rsid w:val="00B574C9"/>
    <w:rsid w:val="00BC39C9"/>
    <w:rsid w:val="00BC4688"/>
    <w:rsid w:val="00BE5BF7"/>
    <w:rsid w:val="00BF40E1"/>
    <w:rsid w:val="00C27FAB"/>
    <w:rsid w:val="00C358D4"/>
    <w:rsid w:val="00C51193"/>
    <w:rsid w:val="00C6296B"/>
    <w:rsid w:val="00C74FFE"/>
    <w:rsid w:val="00CC586D"/>
    <w:rsid w:val="00CF1542"/>
    <w:rsid w:val="00CF3EC5"/>
    <w:rsid w:val="00D17D5F"/>
    <w:rsid w:val="00D656DA"/>
    <w:rsid w:val="00D83300"/>
    <w:rsid w:val="00DB4616"/>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9907"/>
  <w15:chartTrackingRefBased/>
  <w15:docId w15:val="{E0AA6BE1-FBD1-4D1D-B7F4-D54AEE6E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560986"/>
    <w:rPr>
      <w:color w:val="0563C1"/>
      <w:u w:val="single"/>
    </w:rPr>
  </w:style>
  <w:style w:type="paragraph" w:styleId="Caption">
    <w:name w:val="caption"/>
    <w:basedOn w:val="Normal"/>
    <w:next w:val="Normal"/>
    <w:uiPriority w:val="35"/>
    <w:semiHidden/>
    <w:qFormat/>
    <w:rsid w:val="00434A3C"/>
    <w:rPr>
      <w:b/>
      <w:bCs/>
      <w:sz w:val="20"/>
      <w:szCs w:val="20"/>
    </w:rPr>
  </w:style>
  <w:style w:type="character" w:styleId="FollowedHyperlink">
    <w:name w:val="FollowedHyperlink"/>
    <w:basedOn w:val="DefaultParagraphFont"/>
    <w:uiPriority w:val="99"/>
    <w:semiHidden/>
    <w:rsid w:val="004372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1650">
      <w:bodyDiv w:val="1"/>
      <w:marLeft w:val="0"/>
      <w:marRight w:val="0"/>
      <w:marTop w:val="0"/>
      <w:marBottom w:val="0"/>
      <w:divBdr>
        <w:top w:val="none" w:sz="0" w:space="0" w:color="auto"/>
        <w:left w:val="none" w:sz="0" w:space="0" w:color="auto"/>
        <w:bottom w:val="none" w:sz="0" w:space="0" w:color="auto"/>
        <w:right w:val="none" w:sz="0" w:space="0" w:color="auto"/>
      </w:divBdr>
    </w:div>
    <w:div w:id="199242670">
      <w:bodyDiv w:val="1"/>
      <w:marLeft w:val="0"/>
      <w:marRight w:val="0"/>
      <w:marTop w:val="0"/>
      <w:marBottom w:val="0"/>
      <w:divBdr>
        <w:top w:val="none" w:sz="0" w:space="0" w:color="auto"/>
        <w:left w:val="none" w:sz="0" w:space="0" w:color="auto"/>
        <w:bottom w:val="none" w:sz="0" w:space="0" w:color="auto"/>
        <w:right w:val="none" w:sz="0" w:space="0" w:color="auto"/>
      </w:divBdr>
    </w:div>
    <w:div w:id="379473852">
      <w:bodyDiv w:val="1"/>
      <w:marLeft w:val="0"/>
      <w:marRight w:val="0"/>
      <w:marTop w:val="0"/>
      <w:marBottom w:val="0"/>
      <w:divBdr>
        <w:top w:val="none" w:sz="0" w:space="0" w:color="auto"/>
        <w:left w:val="none" w:sz="0" w:space="0" w:color="auto"/>
        <w:bottom w:val="none" w:sz="0" w:space="0" w:color="auto"/>
        <w:right w:val="none" w:sz="0" w:space="0" w:color="auto"/>
      </w:divBdr>
    </w:div>
    <w:div w:id="622686290">
      <w:bodyDiv w:val="1"/>
      <w:marLeft w:val="0"/>
      <w:marRight w:val="0"/>
      <w:marTop w:val="0"/>
      <w:marBottom w:val="0"/>
      <w:divBdr>
        <w:top w:val="none" w:sz="0" w:space="0" w:color="auto"/>
        <w:left w:val="none" w:sz="0" w:space="0" w:color="auto"/>
        <w:bottom w:val="none" w:sz="0" w:space="0" w:color="auto"/>
        <w:right w:val="none" w:sz="0" w:space="0" w:color="auto"/>
      </w:divBdr>
    </w:div>
    <w:div w:id="677730272">
      <w:bodyDiv w:val="1"/>
      <w:marLeft w:val="0"/>
      <w:marRight w:val="0"/>
      <w:marTop w:val="0"/>
      <w:marBottom w:val="0"/>
      <w:divBdr>
        <w:top w:val="none" w:sz="0" w:space="0" w:color="auto"/>
        <w:left w:val="none" w:sz="0" w:space="0" w:color="auto"/>
        <w:bottom w:val="none" w:sz="0" w:space="0" w:color="auto"/>
        <w:right w:val="none" w:sz="0" w:space="0" w:color="auto"/>
      </w:divBdr>
    </w:div>
    <w:div w:id="728501698">
      <w:bodyDiv w:val="1"/>
      <w:marLeft w:val="0"/>
      <w:marRight w:val="0"/>
      <w:marTop w:val="0"/>
      <w:marBottom w:val="0"/>
      <w:divBdr>
        <w:top w:val="none" w:sz="0" w:space="0" w:color="auto"/>
        <w:left w:val="none" w:sz="0" w:space="0" w:color="auto"/>
        <w:bottom w:val="none" w:sz="0" w:space="0" w:color="auto"/>
        <w:right w:val="none" w:sz="0" w:space="0" w:color="auto"/>
      </w:divBdr>
    </w:div>
    <w:div w:id="849098933">
      <w:bodyDiv w:val="1"/>
      <w:marLeft w:val="0"/>
      <w:marRight w:val="0"/>
      <w:marTop w:val="0"/>
      <w:marBottom w:val="0"/>
      <w:divBdr>
        <w:top w:val="none" w:sz="0" w:space="0" w:color="auto"/>
        <w:left w:val="none" w:sz="0" w:space="0" w:color="auto"/>
        <w:bottom w:val="none" w:sz="0" w:space="0" w:color="auto"/>
        <w:right w:val="none" w:sz="0" w:space="0" w:color="auto"/>
      </w:divBdr>
    </w:div>
    <w:div w:id="934552315">
      <w:bodyDiv w:val="1"/>
      <w:marLeft w:val="0"/>
      <w:marRight w:val="0"/>
      <w:marTop w:val="0"/>
      <w:marBottom w:val="0"/>
      <w:divBdr>
        <w:top w:val="none" w:sz="0" w:space="0" w:color="auto"/>
        <w:left w:val="none" w:sz="0" w:space="0" w:color="auto"/>
        <w:bottom w:val="none" w:sz="0" w:space="0" w:color="auto"/>
        <w:right w:val="none" w:sz="0" w:space="0" w:color="auto"/>
      </w:divBdr>
    </w:div>
    <w:div w:id="1245333380">
      <w:bodyDiv w:val="1"/>
      <w:marLeft w:val="0"/>
      <w:marRight w:val="0"/>
      <w:marTop w:val="0"/>
      <w:marBottom w:val="0"/>
      <w:divBdr>
        <w:top w:val="none" w:sz="0" w:space="0" w:color="auto"/>
        <w:left w:val="none" w:sz="0" w:space="0" w:color="auto"/>
        <w:bottom w:val="none" w:sz="0" w:space="0" w:color="auto"/>
        <w:right w:val="none" w:sz="0" w:space="0" w:color="auto"/>
      </w:divBdr>
    </w:div>
    <w:div w:id="1375960909">
      <w:bodyDiv w:val="1"/>
      <w:marLeft w:val="0"/>
      <w:marRight w:val="0"/>
      <w:marTop w:val="0"/>
      <w:marBottom w:val="0"/>
      <w:divBdr>
        <w:top w:val="none" w:sz="0" w:space="0" w:color="auto"/>
        <w:left w:val="none" w:sz="0" w:space="0" w:color="auto"/>
        <w:bottom w:val="none" w:sz="0" w:space="0" w:color="auto"/>
        <w:right w:val="none" w:sz="0" w:space="0" w:color="auto"/>
      </w:divBdr>
    </w:div>
    <w:div w:id="1658613255">
      <w:bodyDiv w:val="1"/>
      <w:marLeft w:val="0"/>
      <w:marRight w:val="0"/>
      <w:marTop w:val="0"/>
      <w:marBottom w:val="0"/>
      <w:divBdr>
        <w:top w:val="none" w:sz="0" w:space="0" w:color="auto"/>
        <w:left w:val="none" w:sz="0" w:space="0" w:color="auto"/>
        <w:bottom w:val="none" w:sz="0" w:space="0" w:color="auto"/>
        <w:right w:val="none" w:sz="0" w:space="0" w:color="auto"/>
      </w:divBdr>
    </w:div>
    <w:div w:id="1816684195">
      <w:bodyDiv w:val="1"/>
      <w:marLeft w:val="0"/>
      <w:marRight w:val="0"/>
      <w:marTop w:val="0"/>
      <w:marBottom w:val="0"/>
      <w:divBdr>
        <w:top w:val="none" w:sz="0" w:space="0" w:color="auto"/>
        <w:left w:val="none" w:sz="0" w:space="0" w:color="auto"/>
        <w:bottom w:val="none" w:sz="0" w:space="0" w:color="auto"/>
        <w:right w:val="none" w:sz="0" w:space="0" w:color="auto"/>
      </w:divBdr>
    </w:div>
    <w:div w:id="1934389462">
      <w:bodyDiv w:val="1"/>
      <w:marLeft w:val="0"/>
      <w:marRight w:val="0"/>
      <w:marTop w:val="0"/>
      <w:marBottom w:val="0"/>
      <w:divBdr>
        <w:top w:val="none" w:sz="0" w:space="0" w:color="auto"/>
        <w:left w:val="none" w:sz="0" w:space="0" w:color="auto"/>
        <w:bottom w:val="none" w:sz="0" w:space="0" w:color="auto"/>
        <w:right w:val="none" w:sz="0" w:space="0" w:color="auto"/>
      </w:divBdr>
    </w:div>
    <w:div w:id="1945258679">
      <w:bodyDiv w:val="1"/>
      <w:marLeft w:val="0"/>
      <w:marRight w:val="0"/>
      <w:marTop w:val="0"/>
      <w:marBottom w:val="0"/>
      <w:divBdr>
        <w:top w:val="none" w:sz="0" w:space="0" w:color="auto"/>
        <w:left w:val="none" w:sz="0" w:space="0" w:color="auto"/>
        <w:bottom w:val="none" w:sz="0" w:space="0" w:color="auto"/>
        <w:right w:val="none" w:sz="0" w:space="0" w:color="auto"/>
      </w:divBdr>
    </w:div>
    <w:div w:id="21308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am.ac.uk/content/articles/p/political-theatre-in-the-early-20th-century/" TargetMode="External"/><Relationship Id="rId9" Type="http://schemas.openxmlformats.org/officeDocument/2006/relationships/hyperlink" Target="http://www.ellenterryarchive.hull.ac.uk"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Hol81</b:Tag>
    <b:SourceType>Book</b:SourceType>
    <b:Guid>{7AB2AC46-B546-43E4-BA5E-D585ED860069}</b:Guid>
    <b:Author>
      <b:Author>
        <b:NameList>
          <b:Person>
            <b:Last>Holledge</b:Last>
            <b:First>Julie</b:First>
          </b:Person>
        </b:NameList>
      </b:Author>
    </b:Author>
    <b:Title>Innocent Flowers: Women in the Edwardian Theatre</b:Title>
    <b:Year>1981</b:Year>
    <b:City>London</b:City>
    <b:Publisher>Virago</b:Publisher>
    <b:RefOrder>7</b:RefOrder>
  </b:Source>
  <b:Source>
    <b:Tag>Coc98</b:Tag>
    <b:SourceType>Book</b:SourceType>
    <b:Guid>{E4C9409A-5035-4FBB-A3CC-0D8EB64BB798}</b:Guid>
    <b:Author>
      <b:Author>
        <b:NameList>
          <b:Person>
            <b:Last>Cockin</b:Last>
            <b:First>Katharine</b:First>
          </b:Person>
        </b:NameList>
      </b:Author>
    </b:Author>
    <b:Title>Edith Craig (1869-1947): Dramatic Lives</b:Title>
    <b:Year>1998</b:Year>
    <b:City>London</b:City>
    <b:Publisher>Cassell</b:Publisher>
    <b:RefOrder>2</b:RefOrder>
  </b:Source>
  <b:Source>
    <b:Tag>Coc</b:Tag>
    <b:SourceType>Book</b:SourceType>
    <b:Guid>{715D36F2-437D-44C9-BE46-87A21051DD75}</b:Guid>
    <b:Author>
      <b:Author>
        <b:NameList>
          <b:Person>
            <b:Last>Cockin</b:Last>
            <b:First>Katharine</b:First>
          </b:Person>
        </b:NameList>
      </b:Author>
    </b:Author>
    <b:Title>Women and Theatre in the Age of Suffrage: The Pioneer Players 1911-25</b:Title>
    <b:City>Basingstoke</b:City>
    <b:Publisher>Palgrave</b:Publisher>
    <b:Year>2001</b:Year>
    <b:RefOrder>4</b:RefOrder>
  </b:Source>
  <b:Source>
    <b:Tag>Coc94</b:Tag>
    <b:SourceType>BookSection</b:SourceType>
    <b:Guid>{32A6EC5B-0087-4751-9FAA-3F239C244120}</b:Guid>
    <b:Title>The Pioneer Players: Plays of/with Identity</b:Title>
    <b:Year>1994</b:Year>
    <b:City>London</b:City>
    <b:Publisher>Taylor &amp; Francis</b:Publisher>
    <b:Author>
      <b:Author>
        <b:NameList>
          <b:Person>
            <b:Last>Cockin</b:Last>
            <b:First>Katharine</b:First>
          </b:Person>
        </b:NameList>
      </b:Author>
      <b:Editor>
        <b:NameList>
          <b:Person>
            <b:Last>Griffin</b:Last>
            <b:First>Gabriele</b:First>
          </b:Person>
        </b:NameList>
      </b:Editor>
    </b:Author>
    <b:BookTitle>Difference in View: Women in Modernism</b:BookTitle>
    <b:Pages>142-54</b:Pages>
    <b:RefOrder>3</b:RefOrder>
  </b:Source>
  <b:Source>
    <b:Tag>Chi95</b:Tag>
    <b:SourceType>JournalArticle</b:SourceType>
    <b:Guid>{D773E22F-2607-400F-BBC6-A6A17F441745}</b:Guid>
    <b:Title>Kori Torahiko and Edith Craig: A Japanese Playwright in London and Toronto</b:Title>
    <b:Year>1995</b:Year>
    <b:Pages>431-451</b:Pages>
    <b:Author>
      <b:Author>
        <b:NameList>
          <b:Person>
            <b:Last>Chiba</b:Last>
            <b:First>Yoko</b:First>
          </b:Person>
        </b:NameList>
      </b:Author>
    </b:Author>
    <b:JournalName>Comparative Drama</b:JournalName>
    <b:Volume>XXX</b:Volume>
    <b:Issue>4</b:Issue>
    <b:RefOrder>1</b:RefOrder>
  </b:Source>
  <b:Source>
    <b:Tag>Dym92</b:Tag>
    <b:SourceType>BookSection</b:SourceType>
    <b:Guid>{8400F4EC-F6DF-4361-8CA7-97F38BEA74ED}</b:Guid>
    <b:Title>Entertaining Ideas: Edy Craig and the Pioneer Players</b:Title>
    <b:Year>1992</b:Year>
    <b:Pages>221-233</b:Pages>
    <b:City>Hemel Hempstead</b:City>
    <b:Publisher>Harvester Wheatsheaf</b:Publisher>
    <b:Author>
      <b:Author>
        <b:NameList>
          <b:Person>
            <b:Last>Dymkowski</b:Last>
            <b:First>Christine</b:First>
          </b:Person>
        </b:NameList>
      </b:Author>
      <b:Editor>
        <b:NameList>
          <b:Person>
            <b:Last>Gardner</b:Last>
            <b:First>Viv</b:First>
          </b:Person>
          <b:Person>
            <b:Last>Rutherford</b:Last>
            <b:First>Susan</b:First>
          </b:Person>
        </b:NameList>
      </b:Editor>
    </b:Author>
    <b:BookTitle>The New Woman and Her Sisters: Feminism and Theatre 1850-1914</b:BookTitle>
    <b:RefOrder>5</b:RefOrder>
  </b:Source>
  <b:Source>
    <b:Tag>Fis95</b:Tag>
    <b:SourceType>JournalArticle</b:SourceType>
    <b:Guid>{616E07D5-0050-44C4-AD4F-6A19A4D81A39}</b:Guid>
    <b:Title>Edy Craig and the Pioneer Players’ Production of Mrs Warren’s Profession</b:Title>
    <b:Year>1995</b:Year>
    <b:Pages>37-56</b:Pages>
    <b:Author>
      <b:Author>
        <b:NameList>
          <b:Person>
            <b:Last>Fisher</b:Last>
            <b:First>James</b:First>
          </b:Person>
        </b:NameList>
      </b:Author>
    </b:Author>
    <b:JournalName>Shaw: The Annual of Bernard Shaw Studies</b:JournalName>
    <b:Volume>XV</b:Volume>
    <b:RefOrder>6</b:RefOrder>
  </b:Source>
</b:Sources>
</file>

<file path=customXml/itemProps1.xml><?xml version="1.0" encoding="utf-8"?>
<ds:datastoreItem xmlns:ds="http://schemas.openxmlformats.org/officeDocument/2006/customXml" ds:itemID="{9E27E95C-AF82-8D4E-AC4F-6C2F6F023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11</TotalTime>
  <Pages>2</Pages>
  <Words>815</Words>
  <Characters>4647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2016-07-08T00:57:00Z</dcterms:created>
  <dcterms:modified xsi:type="dcterms:W3CDTF">2016-08-04T06:32:00Z</dcterms:modified>
</cp:coreProperties>
</file>