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774808" w:rsidRPr="00774808" w:rsidTr="00774808">
        <w:tc>
          <w:tcPr>
            <w:tcW w:w="491" w:type="dxa"/>
            <w:vMerge w:val="restart"/>
            <w:shd w:val="clear" w:color="auto" w:fill="A6A6A6"/>
            <w:textDirection w:val="btLr"/>
          </w:tcPr>
          <w:p w:rsidR="00B574C9" w:rsidRPr="00774808" w:rsidRDefault="00B574C9" w:rsidP="00774808">
            <w:pPr>
              <w:spacing w:after="0" w:line="240" w:lineRule="auto"/>
              <w:jc w:val="center"/>
              <w:rPr>
                <w:b/>
                <w:color w:val="FFFFFF"/>
              </w:rPr>
            </w:pPr>
            <w:r w:rsidRPr="00774808">
              <w:rPr>
                <w:b/>
                <w:color w:val="FFFFFF"/>
              </w:rPr>
              <w:t>About you</w:t>
            </w:r>
          </w:p>
        </w:tc>
        <w:tc>
          <w:tcPr>
            <w:tcW w:w="1259" w:type="dxa"/>
            <w:shd w:val="clear" w:color="auto" w:fill="auto"/>
          </w:tcPr>
          <w:p w:rsidR="00B574C9" w:rsidRPr="00774808" w:rsidRDefault="00B574C9" w:rsidP="00774808">
            <w:pPr>
              <w:spacing w:after="0" w:line="240" w:lineRule="auto"/>
              <w:jc w:val="center"/>
              <w:rPr>
                <w:b/>
                <w:color w:val="FFFFFF"/>
              </w:rPr>
            </w:pPr>
            <w:r w:rsidRPr="00774808">
              <w:rPr>
                <w:rStyle w:val="PlaceholderText"/>
                <w:b/>
                <w:color w:val="FFFFFF"/>
              </w:rPr>
              <w:t>[Salutation]</w:t>
            </w:r>
          </w:p>
        </w:tc>
        <w:tc>
          <w:tcPr>
            <w:tcW w:w="2073" w:type="dxa"/>
            <w:shd w:val="clear" w:color="auto" w:fill="auto"/>
          </w:tcPr>
          <w:p w:rsidR="00B574C9" w:rsidRPr="00774808" w:rsidRDefault="00774808" w:rsidP="00774808">
            <w:pPr>
              <w:spacing w:after="0" w:line="240" w:lineRule="auto"/>
            </w:pPr>
            <w:r>
              <w:rPr>
                <w:rStyle w:val="PlaceholderText"/>
              </w:rPr>
              <w:t>Peter</w:t>
            </w:r>
          </w:p>
        </w:tc>
        <w:tc>
          <w:tcPr>
            <w:tcW w:w="2551" w:type="dxa"/>
            <w:shd w:val="clear" w:color="auto" w:fill="auto"/>
          </w:tcPr>
          <w:p w:rsidR="00B574C9" w:rsidRPr="00774808" w:rsidRDefault="00B574C9" w:rsidP="00774808">
            <w:pPr>
              <w:spacing w:after="0" w:line="240" w:lineRule="auto"/>
            </w:pPr>
            <w:r w:rsidRPr="00774808">
              <w:rPr>
                <w:rStyle w:val="PlaceholderText"/>
              </w:rPr>
              <w:t>[Middle name]</w:t>
            </w:r>
          </w:p>
        </w:tc>
        <w:tc>
          <w:tcPr>
            <w:tcW w:w="2642" w:type="dxa"/>
            <w:shd w:val="clear" w:color="auto" w:fill="auto"/>
          </w:tcPr>
          <w:p w:rsidR="00B574C9" w:rsidRPr="00774808" w:rsidRDefault="00774808" w:rsidP="00774808">
            <w:pPr>
              <w:spacing w:after="0" w:line="240" w:lineRule="auto"/>
            </w:pPr>
            <w:r>
              <w:rPr>
                <w:rStyle w:val="PlaceholderText"/>
              </w:rPr>
              <w:t>Murray</w:t>
            </w:r>
          </w:p>
        </w:tc>
      </w:tr>
      <w:tr w:rsidR="00774808" w:rsidRPr="00774808" w:rsidTr="00774808">
        <w:trPr>
          <w:trHeight w:val="986"/>
        </w:trPr>
        <w:tc>
          <w:tcPr>
            <w:tcW w:w="491" w:type="dxa"/>
            <w:vMerge/>
            <w:shd w:val="clear" w:color="auto" w:fill="A6A6A6"/>
          </w:tcPr>
          <w:p w:rsidR="00B574C9" w:rsidRPr="00774808" w:rsidRDefault="00B574C9" w:rsidP="00774808">
            <w:pPr>
              <w:spacing w:after="0" w:line="240" w:lineRule="auto"/>
              <w:jc w:val="center"/>
              <w:rPr>
                <w:b/>
                <w:color w:val="FFFFFF"/>
              </w:rPr>
            </w:pPr>
          </w:p>
        </w:tc>
        <w:tc>
          <w:tcPr>
            <w:tcW w:w="8525" w:type="dxa"/>
            <w:gridSpan w:val="4"/>
            <w:shd w:val="clear" w:color="auto" w:fill="auto"/>
          </w:tcPr>
          <w:p w:rsidR="00B574C9" w:rsidRPr="00774808" w:rsidRDefault="00B574C9" w:rsidP="00774808">
            <w:pPr>
              <w:spacing w:after="0" w:line="240" w:lineRule="auto"/>
            </w:pPr>
            <w:r w:rsidRPr="00774808">
              <w:rPr>
                <w:rStyle w:val="PlaceholderText"/>
              </w:rPr>
              <w:t>[Enter your biography]</w:t>
            </w:r>
          </w:p>
        </w:tc>
      </w:tr>
      <w:tr w:rsidR="00774808" w:rsidRPr="00774808" w:rsidTr="00774808">
        <w:trPr>
          <w:trHeight w:val="986"/>
        </w:trPr>
        <w:tc>
          <w:tcPr>
            <w:tcW w:w="491" w:type="dxa"/>
            <w:vMerge/>
            <w:shd w:val="clear" w:color="auto" w:fill="A6A6A6"/>
          </w:tcPr>
          <w:p w:rsidR="00B574C9" w:rsidRPr="00774808" w:rsidRDefault="00B574C9" w:rsidP="00774808">
            <w:pPr>
              <w:spacing w:after="0" w:line="240" w:lineRule="auto"/>
              <w:jc w:val="center"/>
              <w:rPr>
                <w:b/>
                <w:color w:val="FFFFFF"/>
              </w:rPr>
            </w:pPr>
          </w:p>
        </w:tc>
        <w:tc>
          <w:tcPr>
            <w:tcW w:w="8525" w:type="dxa"/>
            <w:gridSpan w:val="4"/>
            <w:shd w:val="clear" w:color="auto" w:fill="auto"/>
          </w:tcPr>
          <w:p w:rsidR="00B574C9" w:rsidRPr="00774808" w:rsidRDefault="00774808" w:rsidP="00774808">
            <w:pPr>
              <w:spacing w:after="0" w:line="240" w:lineRule="auto"/>
            </w:pPr>
            <w:r>
              <w:rPr>
                <w:rStyle w:val="PlaceholderText"/>
              </w:rPr>
              <w:t>Fordham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74808" w:rsidRPr="00774808" w:rsidTr="00774808">
        <w:tc>
          <w:tcPr>
            <w:tcW w:w="9016" w:type="dxa"/>
            <w:shd w:val="clear" w:color="auto" w:fill="A6A6A6"/>
            <w:tcMar>
              <w:top w:w="113" w:type="dxa"/>
              <w:bottom w:w="113" w:type="dxa"/>
            </w:tcMar>
          </w:tcPr>
          <w:p w:rsidR="00244BB0" w:rsidRPr="00774808" w:rsidRDefault="00244BB0" w:rsidP="00774808">
            <w:pPr>
              <w:spacing w:after="0" w:line="240" w:lineRule="auto"/>
              <w:jc w:val="center"/>
              <w:rPr>
                <w:b/>
                <w:color w:val="FFFFFF"/>
              </w:rPr>
            </w:pPr>
            <w:r w:rsidRPr="00774808">
              <w:rPr>
                <w:b/>
                <w:color w:val="FFFFFF"/>
              </w:rPr>
              <w:t>Your article</w:t>
            </w:r>
          </w:p>
        </w:tc>
      </w:tr>
      <w:tr w:rsidR="003F0D73" w:rsidRPr="00774808" w:rsidTr="00774808">
        <w:tc>
          <w:tcPr>
            <w:tcW w:w="9016" w:type="dxa"/>
            <w:shd w:val="clear" w:color="auto" w:fill="auto"/>
            <w:tcMar>
              <w:top w:w="113" w:type="dxa"/>
              <w:bottom w:w="113" w:type="dxa"/>
            </w:tcMar>
          </w:tcPr>
          <w:p w:rsidR="003F0D73" w:rsidRPr="00774808" w:rsidRDefault="00774808" w:rsidP="00774808">
            <w:pPr>
              <w:spacing w:after="0" w:line="240" w:lineRule="auto"/>
              <w:rPr>
                <w:b/>
              </w:rPr>
            </w:pPr>
            <w:r w:rsidRPr="00774808">
              <w:rPr>
                <w:b/>
                <w:color w:val="808080"/>
                <w:lang w:val="en-US"/>
              </w:rPr>
              <w:t>The Vienna Circle</w:t>
            </w:r>
          </w:p>
        </w:tc>
      </w:tr>
      <w:tr w:rsidR="00464699" w:rsidRPr="00774808" w:rsidTr="00774808">
        <w:tc>
          <w:tcPr>
            <w:tcW w:w="9016" w:type="dxa"/>
            <w:shd w:val="clear" w:color="auto" w:fill="auto"/>
            <w:tcMar>
              <w:top w:w="113" w:type="dxa"/>
              <w:bottom w:w="113" w:type="dxa"/>
            </w:tcMar>
          </w:tcPr>
          <w:p w:rsidR="00464699" w:rsidRPr="00774808" w:rsidRDefault="00464699" w:rsidP="00774808">
            <w:pPr>
              <w:spacing w:after="0" w:line="240" w:lineRule="auto"/>
            </w:pPr>
            <w:r w:rsidRPr="00774808">
              <w:rPr>
                <w:rStyle w:val="PlaceholderText"/>
                <w:b/>
              </w:rPr>
              <w:t xml:space="preserve">[Enter any </w:t>
            </w:r>
            <w:r w:rsidRPr="00774808">
              <w:rPr>
                <w:rStyle w:val="PlaceholderText"/>
                <w:b/>
                <w:i/>
              </w:rPr>
              <w:t>variant forms</w:t>
            </w:r>
            <w:r w:rsidRPr="00774808">
              <w:rPr>
                <w:rStyle w:val="PlaceholderText"/>
                <w:b/>
              </w:rPr>
              <w:t xml:space="preserve"> of your headword – OPTIONAL]</w:t>
            </w:r>
          </w:p>
        </w:tc>
      </w:tr>
      <w:tr w:rsidR="00E85A05" w:rsidRPr="00774808" w:rsidTr="00774808">
        <w:tc>
          <w:tcPr>
            <w:tcW w:w="9016" w:type="dxa"/>
            <w:shd w:val="clear" w:color="auto" w:fill="auto"/>
            <w:tcMar>
              <w:top w:w="113" w:type="dxa"/>
              <w:bottom w:w="113" w:type="dxa"/>
            </w:tcMar>
          </w:tcPr>
          <w:p w:rsidR="00E85A05" w:rsidRPr="00774808" w:rsidRDefault="00735F59" w:rsidP="00774808">
            <w:pPr>
              <w:spacing w:after="0" w:line="240" w:lineRule="auto"/>
            </w:pPr>
            <w:r w:rsidRPr="00774808">
              <w:rPr>
                <w:lang w:val="en-US"/>
              </w:rPr>
              <w:t xml:space="preserve">In 1922 Moritz Schlick (1882-1936) transformed the </w:t>
            </w:r>
            <w:r w:rsidRPr="00774808">
              <w:rPr>
                <w:i/>
                <w:lang w:val="en-US"/>
              </w:rPr>
              <w:t>Verein Ernst Mach</w:t>
            </w:r>
            <w:r w:rsidRPr="00774808">
              <w:rPr>
                <w:lang w:val="en-US"/>
              </w:rPr>
              <w:t xml:space="preserve"> (Ernst Mach Society), a weekly reading group concerned with logical positivism, into an international assembly of academics known as </w:t>
            </w:r>
            <w:r w:rsidRPr="00774808">
              <w:rPr>
                <w:i/>
                <w:lang w:val="en-US"/>
              </w:rPr>
              <w:t>der Weiner Kreis</w:t>
            </w:r>
            <w:r w:rsidRPr="00774808">
              <w:rPr>
                <w:lang w:val="en-US"/>
              </w:rPr>
              <w:t xml:space="preserve">, or the Vienna Circle, which responded to recent developments within analytic philosophy by leading thinkers Bertrand Russell (1872-1970), Gottlob Frege (1848-1925) and Ludwig Wittgenstein (1889-1951). Early members included Rudolf Carnap (1891-1970), Kurt Gödel (1906-1978) and Otto Neurath (1882-1945). In 1929, Neurath published </w:t>
            </w:r>
            <w:r w:rsidRPr="00774808">
              <w:rPr>
                <w:i/>
                <w:iCs/>
                <w:lang w:val="en-US"/>
              </w:rPr>
              <w:t>Wissenschaftliche Weltauffassung. Der Wiener Kreis</w:t>
            </w:r>
            <w:r w:rsidRPr="00774808">
              <w:rPr>
                <w:lang w:val="en-US"/>
              </w:rPr>
              <w:t xml:space="preserve"> (</w:t>
            </w:r>
            <w:r w:rsidRPr="00774808">
              <w:rPr>
                <w:i/>
                <w:lang w:val="en-US"/>
              </w:rPr>
              <w:t>The Scientific Conception of the World: The Vienna Circle</w:t>
            </w:r>
            <w:r w:rsidRPr="00774808">
              <w:rPr>
                <w:lang w:val="en-US"/>
              </w:rPr>
              <w:t>), a pamphlet delineating the group’s rejection of metaphysics in favour of a scientific worldview predicated upon empirical phenomena.</w:t>
            </w:r>
          </w:p>
        </w:tc>
      </w:tr>
      <w:tr w:rsidR="003F0D73" w:rsidRPr="00774808" w:rsidTr="00774808">
        <w:tc>
          <w:tcPr>
            <w:tcW w:w="9016" w:type="dxa"/>
            <w:shd w:val="clear" w:color="auto" w:fill="auto"/>
            <w:tcMar>
              <w:top w:w="113" w:type="dxa"/>
              <w:bottom w:w="113" w:type="dxa"/>
            </w:tcMar>
          </w:tcPr>
          <w:p w:rsidR="003F0D73" w:rsidRPr="00774808" w:rsidRDefault="00774808" w:rsidP="00B66D53">
            <w:pPr>
              <w:spacing w:after="0"/>
            </w:pPr>
            <w:r w:rsidRPr="00774808">
              <w:rPr>
                <w:lang w:val="en-US"/>
              </w:rPr>
              <w:t xml:space="preserve">In 1922 Moritz Schlick (1882-1936) transformed the </w:t>
            </w:r>
            <w:r w:rsidRPr="00774808">
              <w:rPr>
                <w:i/>
                <w:lang w:val="en-US"/>
              </w:rPr>
              <w:t>Verein Ernst Mach</w:t>
            </w:r>
            <w:r w:rsidRPr="00774808">
              <w:rPr>
                <w:lang w:val="en-US"/>
              </w:rPr>
              <w:t xml:space="preserve"> (Ernst Mach Society), a weekly reading group concerned with logical positivism, into an international assembly of academics known as </w:t>
            </w:r>
            <w:r w:rsidRPr="00774808">
              <w:rPr>
                <w:i/>
                <w:lang w:val="en-US"/>
              </w:rPr>
              <w:t>der Weiner Kreis</w:t>
            </w:r>
            <w:r w:rsidRPr="00774808">
              <w:rPr>
                <w:lang w:val="en-US"/>
              </w:rPr>
              <w:t xml:space="preserve">, or the Vienna Circle, which responded to recent developments within analytic philosophy by leading thinkers Bertrand Russell (1872-1970), Gottlob Frege (1848-1925) and Ludwig Wittgenstein (1889-1951). Early members included Rudolf Carnap (1891-1970), Kurt Gödel (1906-1978) and Otto Neurath (1882-1945). In 1929, Neurath published </w:t>
            </w:r>
            <w:r w:rsidRPr="00774808">
              <w:rPr>
                <w:i/>
                <w:iCs/>
                <w:lang w:val="en-US"/>
              </w:rPr>
              <w:t>Wissenschaftliche Weltauffassung. Der Wiener Kreis</w:t>
            </w:r>
            <w:r w:rsidRPr="00774808">
              <w:rPr>
                <w:lang w:val="en-US"/>
              </w:rPr>
              <w:t xml:space="preserve"> (</w:t>
            </w:r>
            <w:r w:rsidRPr="00774808">
              <w:rPr>
                <w:i/>
                <w:lang w:val="en-US"/>
              </w:rPr>
              <w:t>The Scientific Conception of the World: The Vienna Circle</w:t>
            </w:r>
            <w:r w:rsidRPr="00774808">
              <w:rPr>
                <w:lang w:val="en-US"/>
              </w:rPr>
              <w:t xml:space="preserve">), a pamphlet delineating the group’s rejection of metaphysics in favour of a scientific worldview predicated upon empirical phenomena. A. J. Ayer (1910-1989) participated in the group from 1932-33, during which he espoused a verification principle that was published in 1936 as </w:t>
            </w:r>
            <w:r w:rsidRPr="00774808">
              <w:rPr>
                <w:i/>
                <w:lang w:val="en-US"/>
              </w:rPr>
              <w:t>Language, Truth and Logic</w:t>
            </w:r>
            <w:r w:rsidRPr="00774808">
              <w:rPr>
                <w:lang w:val="en-US"/>
              </w:rPr>
              <w:t xml:space="preserve">. For Ayer, ‘no statement which refers to a </w:t>
            </w:r>
            <w:r w:rsidR="00735F59">
              <w:rPr>
                <w:lang w:val="en-US"/>
              </w:rPr>
              <w:t>‘</w:t>
            </w:r>
            <w:r w:rsidRPr="00774808">
              <w:rPr>
                <w:lang w:val="en-US"/>
              </w:rPr>
              <w:t>reality</w:t>
            </w:r>
            <w:r w:rsidR="00735F59">
              <w:rPr>
                <w:lang w:val="en-US"/>
              </w:rPr>
              <w:t>’</w:t>
            </w:r>
            <w:r w:rsidRPr="00774808">
              <w:rPr>
                <w:lang w:val="en-US"/>
              </w:rPr>
              <w:t xml:space="preserve"> transcending the limits of all possible sense-experience can possibly have any literal significance’ (34). With the onset of World War II, many members immigrated to the United States where logical positivism flourished within the analytic tradition. In 1938, several émigrés proposed a twenty-six volume </w:t>
            </w:r>
            <w:r w:rsidRPr="00774808">
              <w:rPr>
                <w:i/>
                <w:lang w:val="en-US"/>
              </w:rPr>
              <w:t>International Encyclopedia of Unified Science</w:t>
            </w:r>
            <w:r w:rsidRPr="00774808">
              <w:rPr>
                <w:lang w:val="en-US"/>
              </w:rPr>
              <w:t xml:space="preserve"> that attempted to illuminate the scientific laws underlying all human phenomena. The series was never completed.</w:t>
            </w:r>
          </w:p>
        </w:tc>
      </w:tr>
      <w:tr w:rsidR="003235A7" w:rsidRPr="00774808" w:rsidTr="00774808">
        <w:tc>
          <w:tcPr>
            <w:tcW w:w="9016" w:type="dxa"/>
            <w:shd w:val="clear" w:color="auto" w:fill="auto"/>
          </w:tcPr>
          <w:p w:rsidR="003235A7" w:rsidRPr="00774808" w:rsidRDefault="003235A7" w:rsidP="00774808">
            <w:pPr>
              <w:spacing w:after="0" w:line="240" w:lineRule="auto"/>
            </w:pPr>
            <w:r w:rsidRPr="00774808">
              <w:rPr>
                <w:u w:val="single"/>
              </w:rPr>
              <w:t>Further reading</w:t>
            </w:r>
            <w:r w:rsidRPr="00774808">
              <w:t>:</w:t>
            </w:r>
          </w:p>
          <w:p w:rsidR="00774808" w:rsidRDefault="003318C6" w:rsidP="00774808">
            <w:pPr>
              <w:spacing w:after="0"/>
              <w:rPr>
                <w:lang w:val="en-US"/>
              </w:rPr>
            </w:pPr>
            <w:sdt>
              <w:sdtPr>
                <w:rPr>
                  <w:lang w:val="en-US"/>
                </w:rPr>
                <w:id w:val="-472915578"/>
                <w:citation/>
              </w:sdtPr>
              <w:sdtContent>
                <w:r>
                  <w:rPr>
                    <w:lang w:val="en-US"/>
                  </w:rPr>
                  <w:fldChar w:fldCharType="begin"/>
                </w:r>
                <w:r>
                  <w:rPr>
                    <w:noProof/>
                    <w:lang w:val="en-CA"/>
                  </w:rPr>
                  <w:instrText xml:space="preserve"> CITATION Aye36 \l 4105 </w:instrText>
                </w:r>
                <w:r>
                  <w:rPr>
                    <w:lang w:val="en-US"/>
                  </w:rPr>
                  <w:fldChar w:fldCharType="separate"/>
                </w:r>
                <w:r w:rsidRPr="003318C6">
                  <w:rPr>
                    <w:noProof/>
                    <w:lang w:val="en-CA"/>
                  </w:rPr>
                  <w:t>(Ayer)</w:t>
                </w:r>
                <w:r>
                  <w:rPr>
                    <w:lang w:val="en-US"/>
                  </w:rPr>
                  <w:fldChar w:fldCharType="end"/>
                </w:r>
              </w:sdtContent>
            </w:sdt>
          </w:p>
          <w:p w:rsidR="00A426AC" w:rsidRPr="00774808" w:rsidRDefault="003318C6" w:rsidP="00774808">
            <w:pPr>
              <w:spacing w:after="0"/>
              <w:rPr>
                <w:lang w:val="en-US"/>
              </w:rPr>
            </w:pPr>
            <w:sdt>
              <w:sdtPr>
                <w:rPr>
                  <w:lang w:val="en-US"/>
                </w:rPr>
                <w:id w:val="1419989564"/>
                <w:citation/>
              </w:sdtPr>
              <w:sdtContent>
                <w:r>
                  <w:rPr>
                    <w:lang w:val="en-US"/>
                  </w:rPr>
                  <w:fldChar w:fldCharType="begin"/>
                </w:r>
                <w:r>
                  <w:rPr>
                    <w:noProof/>
                    <w:lang w:val="en-CA"/>
                  </w:rPr>
                  <w:instrText xml:space="preserve"> CITATION Jan961 \l 4105 </w:instrText>
                </w:r>
                <w:r>
                  <w:rPr>
                    <w:lang w:val="en-US"/>
                  </w:rPr>
                  <w:fldChar w:fldCharType="separate"/>
                </w:r>
                <w:r w:rsidRPr="003318C6">
                  <w:rPr>
                    <w:noProof/>
                    <w:lang w:val="en-CA"/>
                  </w:rPr>
                  <w:t>(Janik and Toulmin)</w:t>
                </w:r>
                <w:r>
                  <w:rPr>
                    <w:lang w:val="en-US"/>
                  </w:rPr>
                  <w:fldChar w:fldCharType="end"/>
                </w:r>
              </w:sdtContent>
            </w:sdt>
          </w:p>
          <w:p w:rsidR="00774808" w:rsidRPr="00774808" w:rsidRDefault="003318C6" w:rsidP="00774808">
            <w:pPr>
              <w:spacing w:after="0"/>
              <w:rPr>
                <w:lang w:val="en-US"/>
              </w:rPr>
            </w:pPr>
            <w:sdt>
              <w:sdtPr>
                <w:rPr>
                  <w:lang w:val="en-US"/>
                </w:rPr>
                <w:id w:val="-775403914"/>
                <w:citation/>
              </w:sdtPr>
              <w:sdtContent>
                <w:r>
                  <w:rPr>
                    <w:lang w:val="en-US"/>
                  </w:rPr>
                  <w:fldChar w:fldCharType="begin"/>
                </w:r>
                <w:r>
                  <w:rPr>
                    <w:noProof/>
                    <w:lang w:val="en-CA"/>
                  </w:rPr>
                  <w:instrText xml:space="preserve"> CITATION Kra \l 4105 </w:instrText>
                </w:r>
                <w:r>
                  <w:rPr>
                    <w:lang w:val="en-US"/>
                  </w:rPr>
                  <w:fldChar w:fldCharType="separate"/>
                </w:r>
                <w:r w:rsidRPr="003318C6">
                  <w:rPr>
                    <w:noProof/>
                    <w:lang w:val="en-CA"/>
                  </w:rPr>
                  <w:t>(Kraft)</w:t>
                </w:r>
                <w:r>
                  <w:rPr>
                    <w:lang w:val="en-US"/>
                  </w:rPr>
                  <w:fldChar w:fldCharType="end"/>
                </w:r>
              </w:sdtContent>
            </w:sdt>
          </w:p>
          <w:p w:rsidR="003235A7" w:rsidRPr="00774808" w:rsidRDefault="003318C6" w:rsidP="00774808">
            <w:pPr>
              <w:spacing w:after="0"/>
            </w:pPr>
            <w:sdt>
              <w:sdtPr>
                <w:id w:val="-1515761186"/>
                <w:citation/>
              </w:sdtPr>
              <w:sdtContent>
                <w:r>
                  <w:fldChar w:fldCharType="begin"/>
                </w:r>
                <w:r>
                  <w:rPr>
                    <w:noProof/>
                    <w:lang w:val="en-CA"/>
                  </w:rPr>
                  <w:instrText xml:space="preserve"> CITATION Wit61 \l 4105 </w:instrText>
                </w:r>
                <w:r>
                  <w:fldChar w:fldCharType="separate"/>
                </w:r>
                <w:r w:rsidRPr="003318C6">
                  <w:rPr>
                    <w:noProof/>
                    <w:lang w:val="en-CA"/>
                  </w:rPr>
                  <w:t>(Wittgenstein)</w:t>
                </w:r>
                <w:r>
                  <w:fldChar w:fldCharType="end"/>
                </w:r>
              </w:sdtContent>
            </w:sdt>
            <w:bookmarkStart w:id="0" w:name="_GoBack"/>
            <w:bookmarkEnd w:id="0"/>
          </w:p>
        </w:tc>
      </w:tr>
      <w:tr w:rsidR="00A426AC" w:rsidRPr="00774808" w:rsidTr="00774808">
        <w:tc>
          <w:tcPr>
            <w:tcW w:w="9016" w:type="dxa"/>
            <w:shd w:val="clear" w:color="auto" w:fill="auto"/>
          </w:tcPr>
          <w:p w:rsidR="00A426AC" w:rsidRPr="00774808" w:rsidRDefault="00A426AC" w:rsidP="00774808">
            <w:pPr>
              <w:spacing w:after="0" w:line="240" w:lineRule="auto"/>
              <w:rPr>
                <w:u w:val="single"/>
              </w:rPr>
            </w:pP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693" w:rsidRDefault="00C71693" w:rsidP="007A0D55">
      <w:pPr>
        <w:spacing w:after="0" w:line="240" w:lineRule="auto"/>
      </w:pPr>
      <w:r>
        <w:separator/>
      </w:r>
    </w:p>
  </w:endnote>
  <w:endnote w:type="continuationSeparator" w:id="0">
    <w:p w:rsidR="00C71693" w:rsidRDefault="00C716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693" w:rsidRDefault="00C71693" w:rsidP="007A0D55">
      <w:pPr>
        <w:spacing w:after="0" w:line="240" w:lineRule="auto"/>
      </w:pPr>
      <w:r>
        <w:separator/>
      </w:r>
    </w:p>
  </w:footnote>
  <w:footnote w:type="continuationSeparator" w:id="0">
    <w:p w:rsidR="00C71693" w:rsidRDefault="00C7169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74808">
      <w:rPr>
        <w:b/>
        <w:color w:val="7F7F7F"/>
      </w:rPr>
      <w:t>Taylor &amp; Francis</w:t>
    </w:r>
    <w:r w:rsidRPr="00774808">
      <w:rPr>
        <w:color w:val="7F7F7F"/>
      </w:rPr>
      <w:t xml:space="preserve"> – </w:t>
    </w:r>
    <w:r w:rsidRPr="00774808">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18C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5F59"/>
    <w:rsid w:val="007411B9"/>
    <w:rsid w:val="00774808"/>
    <w:rsid w:val="00780D95"/>
    <w:rsid w:val="00780DC7"/>
    <w:rsid w:val="007A0D55"/>
    <w:rsid w:val="007B3377"/>
    <w:rsid w:val="007E5F44"/>
    <w:rsid w:val="00821DE3"/>
    <w:rsid w:val="00822DF8"/>
    <w:rsid w:val="00846CE1"/>
    <w:rsid w:val="008A5B87"/>
    <w:rsid w:val="00922950"/>
    <w:rsid w:val="009A7264"/>
    <w:rsid w:val="009D1606"/>
    <w:rsid w:val="009E18A1"/>
    <w:rsid w:val="009E73D7"/>
    <w:rsid w:val="00A27D2C"/>
    <w:rsid w:val="00A426AC"/>
    <w:rsid w:val="00A76FD9"/>
    <w:rsid w:val="00AB436D"/>
    <w:rsid w:val="00AD2F24"/>
    <w:rsid w:val="00AD4844"/>
    <w:rsid w:val="00B219AE"/>
    <w:rsid w:val="00B33145"/>
    <w:rsid w:val="00B574C9"/>
    <w:rsid w:val="00B66D53"/>
    <w:rsid w:val="00BC39C9"/>
    <w:rsid w:val="00BE5BF7"/>
    <w:rsid w:val="00BF0FF4"/>
    <w:rsid w:val="00BF40E1"/>
    <w:rsid w:val="00C27FAB"/>
    <w:rsid w:val="00C358D4"/>
    <w:rsid w:val="00C6296B"/>
    <w:rsid w:val="00C7169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A2D8E-8DF7-467F-97A8-EAA07C7D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1359">
      <w:bodyDiv w:val="1"/>
      <w:marLeft w:val="0"/>
      <w:marRight w:val="0"/>
      <w:marTop w:val="0"/>
      <w:marBottom w:val="0"/>
      <w:divBdr>
        <w:top w:val="none" w:sz="0" w:space="0" w:color="auto"/>
        <w:left w:val="none" w:sz="0" w:space="0" w:color="auto"/>
        <w:bottom w:val="none" w:sz="0" w:space="0" w:color="auto"/>
        <w:right w:val="none" w:sz="0" w:space="0" w:color="auto"/>
      </w:divBdr>
    </w:div>
    <w:div w:id="162165646">
      <w:bodyDiv w:val="1"/>
      <w:marLeft w:val="0"/>
      <w:marRight w:val="0"/>
      <w:marTop w:val="0"/>
      <w:marBottom w:val="0"/>
      <w:divBdr>
        <w:top w:val="none" w:sz="0" w:space="0" w:color="auto"/>
        <w:left w:val="none" w:sz="0" w:space="0" w:color="auto"/>
        <w:bottom w:val="none" w:sz="0" w:space="0" w:color="auto"/>
        <w:right w:val="none" w:sz="0" w:space="0" w:color="auto"/>
      </w:divBdr>
    </w:div>
    <w:div w:id="172502009">
      <w:bodyDiv w:val="1"/>
      <w:marLeft w:val="0"/>
      <w:marRight w:val="0"/>
      <w:marTop w:val="0"/>
      <w:marBottom w:val="0"/>
      <w:divBdr>
        <w:top w:val="none" w:sz="0" w:space="0" w:color="auto"/>
        <w:left w:val="none" w:sz="0" w:space="0" w:color="auto"/>
        <w:bottom w:val="none" w:sz="0" w:space="0" w:color="auto"/>
        <w:right w:val="none" w:sz="0" w:space="0" w:color="auto"/>
      </w:divBdr>
    </w:div>
    <w:div w:id="194583627">
      <w:bodyDiv w:val="1"/>
      <w:marLeft w:val="0"/>
      <w:marRight w:val="0"/>
      <w:marTop w:val="0"/>
      <w:marBottom w:val="0"/>
      <w:divBdr>
        <w:top w:val="none" w:sz="0" w:space="0" w:color="auto"/>
        <w:left w:val="none" w:sz="0" w:space="0" w:color="auto"/>
        <w:bottom w:val="none" w:sz="0" w:space="0" w:color="auto"/>
        <w:right w:val="none" w:sz="0" w:space="0" w:color="auto"/>
      </w:divBdr>
    </w:div>
    <w:div w:id="457450906">
      <w:bodyDiv w:val="1"/>
      <w:marLeft w:val="0"/>
      <w:marRight w:val="0"/>
      <w:marTop w:val="0"/>
      <w:marBottom w:val="0"/>
      <w:divBdr>
        <w:top w:val="none" w:sz="0" w:space="0" w:color="auto"/>
        <w:left w:val="none" w:sz="0" w:space="0" w:color="auto"/>
        <w:bottom w:val="none" w:sz="0" w:space="0" w:color="auto"/>
        <w:right w:val="none" w:sz="0" w:space="0" w:color="auto"/>
      </w:divBdr>
    </w:div>
    <w:div w:id="927886042">
      <w:bodyDiv w:val="1"/>
      <w:marLeft w:val="0"/>
      <w:marRight w:val="0"/>
      <w:marTop w:val="0"/>
      <w:marBottom w:val="0"/>
      <w:divBdr>
        <w:top w:val="none" w:sz="0" w:space="0" w:color="auto"/>
        <w:left w:val="none" w:sz="0" w:space="0" w:color="auto"/>
        <w:bottom w:val="none" w:sz="0" w:space="0" w:color="auto"/>
        <w:right w:val="none" w:sz="0" w:space="0" w:color="auto"/>
      </w:divBdr>
    </w:div>
    <w:div w:id="1634675433">
      <w:bodyDiv w:val="1"/>
      <w:marLeft w:val="0"/>
      <w:marRight w:val="0"/>
      <w:marTop w:val="0"/>
      <w:marBottom w:val="0"/>
      <w:divBdr>
        <w:top w:val="none" w:sz="0" w:space="0" w:color="auto"/>
        <w:left w:val="none" w:sz="0" w:space="0" w:color="auto"/>
        <w:bottom w:val="none" w:sz="0" w:space="0" w:color="auto"/>
        <w:right w:val="none" w:sz="0" w:space="0" w:color="auto"/>
      </w:divBdr>
    </w:div>
    <w:div w:id="21461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Aye36</b:Tag>
    <b:SourceType>Book</b:SourceType>
    <b:Guid>{756F8840-B23E-4BE1-A57E-F5F26D6B4529}</b:Guid>
    <b:Title>Language, Truth and Logic</b:Title>
    <b:Year>1936</b:Year>
    <b:Author>
      <b:Author>
        <b:NameList>
          <b:Person>
            <b:Last>Ayer</b:Last>
            <b:First>A.</b:First>
            <b:Middle>J.</b:Middle>
          </b:Person>
        </b:NameList>
      </b:Author>
    </b:Author>
    <b:City>New York</b:City>
    <b:Publisher>Dover</b:Publisher>
    <b:RefOrder>1</b:RefOrder>
  </b:Source>
  <b:Source>
    <b:Tag>Kra</b:Tag>
    <b:SourceType>Book</b:SourceType>
    <b:Guid>{25E0A500-5D7E-4C65-9B75-9B6EBB1BD45E}</b:Guid>
    <b:Author>
      <b:Author>
        <b:NameList>
          <b:Person>
            <b:Last>Kraft</b:Last>
            <b:First>V.</b:First>
          </b:Person>
        </b:NameList>
      </b:Author>
    </b:Author>
    <b:Title>The Vienna Circle: The Origins of Neo-Positivism</b:Title>
    <b:Year>1953</b:Year>
    <b:City>New York</b:City>
    <b:Publisher>Philosophical Library</b:Publisher>
    <b:RefOrder>3</b:RefOrder>
  </b:Source>
  <b:Source>
    <b:Tag>Jan961</b:Tag>
    <b:SourceType>Book</b:SourceType>
    <b:Guid>{5B850163-C5A8-4BFC-A64F-52C88FF700DC}</b:Guid>
    <b:Author>
      <b:Author>
        <b:NameList>
          <b:Person>
            <b:Last>Janik</b:Last>
            <b:First>A.</b:First>
          </b:Person>
          <b:Person>
            <b:Last>Toulmin</b:Last>
            <b:First>S.</b:First>
          </b:Person>
        </b:NameList>
      </b:Author>
    </b:Author>
    <b:Title>Wittgenstein’s Vienna</b:Title>
    <b:Year>1996</b:Year>
    <b:City>Chicago</b:City>
    <b:Publisher>Ivan R. Dee, Inc.</b:Publisher>
    <b:RefOrder>2</b:RefOrder>
  </b:Source>
  <b:Source>
    <b:Tag>Wit61</b:Tag>
    <b:SourceType>Book</b:SourceType>
    <b:Guid>{92E73AEA-5BEC-4315-B8B6-17E4D4665EB9}</b:Guid>
    <b:Author>
      <b:Author>
        <b:NameList>
          <b:Person>
            <b:Last>Wittgenstein</b:Last>
            <b:First>L.</b:First>
          </b:Person>
        </b:NameList>
      </b:Author>
    </b:Author>
    <b:Title>Tractatus Logico-Philosophicus</b:Title>
    <b:Year>1961</b:Year>
    <b:City>New York</b:City>
    <b:Publisher>Routledge</b:Publisher>
    <b:RefOrder>4</b:RefOrder>
  </b:Source>
</b:Sources>
</file>

<file path=customXml/itemProps1.xml><?xml version="1.0" encoding="utf-8"?>
<ds:datastoreItem xmlns:ds="http://schemas.openxmlformats.org/officeDocument/2006/customXml" ds:itemID="{0F7E0373-5AC9-4BB0-A4AE-AFD6FFF8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6</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2016-06-25T20:02:00Z</dcterms:created>
  <dcterms:modified xsi:type="dcterms:W3CDTF">2016-07-15T20:51:00Z</dcterms:modified>
</cp:coreProperties>
</file>