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2B35C1" w14:textId="77777777" w:rsidTr="00922950">
        <w:tc>
          <w:tcPr>
            <w:tcW w:w="491" w:type="dxa"/>
            <w:vMerge w:val="restart"/>
            <w:shd w:val="clear" w:color="auto" w:fill="A6A6A6" w:themeFill="background1" w:themeFillShade="A6"/>
            <w:textDirection w:val="btLr"/>
          </w:tcPr>
          <w:p w14:paraId="076747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14:paraId="20262E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14:paraId="73CF2DC9" w14:textId="77777777"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14:paraId="6E1C6856" w14:textId="77777777"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14:paraId="52DB8FDF" w14:textId="77777777" w:rsidR="00B574C9" w:rsidRDefault="00521718" w:rsidP="00521718">
                <w:r>
                  <w:t>Junge</w:t>
                </w:r>
              </w:p>
            </w:tc>
          </w:sdtContent>
        </w:sdt>
      </w:tr>
      <w:tr w:rsidR="00B574C9" w14:paraId="7AFCDD2D" w14:textId="77777777" w:rsidTr="001A6A06">
        <w:trPr>
          <w:trHeight w:val="986"/>
        </w:trPr>
        <w:tc>
          <w:tcPr>
            <w:tcW w:w="491" w:type="dxa"/>
            <w:vMerge/>
            <w:shd w:val="clear" w:color="auto" w:fill="A6A6A6" w:themeFill="background1" w:themeFillShade="A6"/>
          </w:tcPr>
          <w:p w14:paraId="30B9FB7D" w14:textId="77777777"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14:paraId="69F1C419" w14:textId="77777777" w:rsidR="00B574C9" w:rsidRDefault="00F668DE" w:rsidP="00F668DE">
                    <w:r>
                      <w:rPr>
                        <w:rStyle w:val="PlaceholderText"/>
                      </w:rPr>
                      <w:t>[Enter your biography]</w:t>
                    </w:r>
                  </w:p>
                </w:tc>
              </w:sdtContent>
            </w:sdt>
          </w:sdtContent>
        </w:sdt>
      </w:tr>
      <w:tr w:rsidR="00B574C9" w14:paraId="7F6C7814" w14:textId="77777777" w:rsidTr="001A6A06">
        <w:trPr>
          <w:trHeight w:val="986"/>
        </w:trPr>
        <w:tc>
          <w:tcPr>
            <w:tcW w:w="491" w:type="dxa"/>
            <w:vMerge/>
            <w:shd w:val="clear" w:color="auto" w:fill="A6A6A6" w:themeFill="background1" w:themeFillShade="A6"/>
          </w:tcPr>
          <w:p w14:paraId="51BE0F57" w14:textId="77777777"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14:paraId="035F7086" w14:textId="77777777" w:rsidR="00B574C9" w:rsidRDefault="004F379D" w:rsidP="00B574C9">
                <w:r>
                  <w:t>Philipps-University Marburg, Germany</w:t>
                </w:r>
              </w:p>
            </w:tc>
          </w:sdtContent>
        </w:sdt>
      </w:tr>
    </w:tbl>
    <w:p w14:paraId="7F4788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D9641F" w14:textId="77777777" w:rsidTr="00244BB0">
        <w:tc>
          <w:tcPr>
            <w:tcW w:w="9016" w:type="dxa"/>
            <w:shd w:val="clear" w:color="auto" w:fill="A6A6A6" w:themeFill="background1" w:themeFillShade="A6"/>
            <w:tcMar>
              <w:top w:w="113" w:type="dxa"/>
              <w:bottom w:w="113" w:type="dxa"/>
            </w:tcMar>
          </w:tcPr>
          <w:p w14:paraId="764602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63E92A" w14:textId="77777777" w:rsidTr="003F0D73">
        <w:sdt>
          <w:sdtPr>
            <w:rPr>
              <w:b/>
            </w:rPr>
            <w:alias w:val="Article headword"/>
            <w:tag w:val="articleHeadword"/>
            <w:id w:val="-361440020"/>
            <w:placeholder>
              <w:docPart w:val="3C74BDB02A4C429A83472F6DC0B3D7BD"/>
            </w:placeholder>
            <w:text/>
          </w:sdtPr>
          <w:sdtEndPr/>
          <w:sdtContent>
            <w:tc>
              <w:tcPr>
                <w:tcW w:w="9016" w:type="dxa"/>
                <w:tcMar>
                  <w:top w:w="113" w:type="dxa"/>
                  <w:bottom w:w="113" w:type="dxa"/>
                </w:tcMar>
              </w:tcPr>
              <w:p w14:paraId="0CE2F1D3" w14:textId="77777777" w:rsidR="003F0D73" w:rsidRPr="00FB589A" w:rsidRDefault="00167432" w:rsidP="006C13B0">
                <w:pPr>
                  <w:rPr>
                    <w:b/>
                  </w:rPr>
                </w:pPr>
                <w:r w:rsidRPr="006C13B0">
                  <w:rPr>
                    <w:b/>
                  </w:rPr>
                  <w:t>al-Shidyāq</w:t>
                </w:r>
                <w:r>
                  <w:rPr>
                    <w:b/>
                  </w:rPr>
                  <w:t xml:space="preserve">, </w:t>
                </w:r>
                <w:r w:rsidRPr="0055694E">
                  <w:rPr>
                    <w:b/>
                  </w:rPr>
                  <w:t>Aḥmad Fāris</w:t>
                </w:r>
                <w:r w:rsidRPr="006C13B0">
                  <w:rPr>
                    <w:b/>
                  </w:rPr>
                  <w:t xml:space="preserve"> (ca. 1805-1887)</w:t>
                </w:r>
              </w:p>
            </w:tc>
          </w:sdtContent>
        </w:sdt>
      </w:tr>
      <w:tr w:rsidR="00464699" w14:paraId="38748822" w14:textId="77777777" w:rsidTr="00F668DE">
        <w:sdt>
          <w:sdtPr>
            <w:rPr>
              <w:b/>
            </w:rPr>
            <w:alias w:val="Variant headwords"/>
            <w:tag w:val="variantHeadwords"/>
            <w:id w:val="173464402"/>
            <w:placeholder>
              <w:docPart w:val="F572CBA8061D479F83FECBDE2224CA3F"/>
            </w:placeholder>
          </w:sdtPr>
          <w:sdtEndPr/>
          <w:sdtContent>
            <w:tc>
              <w:tcPr>
                <w:tcW w:w="9016" w:type="dxa"/>
                <w:tcMar>
                  <w:top w:w="113" w:type="dxa"/>
                  <w:bottom w:w="113" w:type="dxa"/>
                </w:tcMar>
              </w:tcPr>
              <w:p w14:paraId="08F4F556" w14:textId="77777777" w:rsidR="00464699" w:rsidRPr="006C13B0" w:rsidRDefault="0039366B" w:rsidP="00167432">
                <w:pPr>
                  <w:rPr>
                    <w:b/>
                  </w:rPr>
                </w:pPr>
                <w:r w:rsidRPr="006C13B0">
                  <w:rPr>
                    <w:b/>
                  </w:rPr>
                  <w:t>al-Shidyaq</w:t>
                </w:r>
                <w:r w:rsidR="00A51FBA" w:rsidRPr="006C13B0">
                  <w:rPr>
                    <w:b/>
                  </w:rPr>
                  <w:t xml:space="preserve">, </w:t>
                </w:r>
                <w:r w:rsidR="00167432">
                  <w:rPr>
                    <w:b/>
                  </w:rPr>
                  <w:t xml:space="preserve">Ahmad Faris; </w:t>
                </w:r>
                <w:r w:rsidR="00A51FBA" w:rsidRPr="006C13B0">
                  <w:rPr>
                    <w:b/>
                  </w:rPr>
                  <w:t xml:space="preserve">aš-Šidyāq, </w:t>
                </w:r>
                <w:r w:rsidR="00167432" w:rsidRPr="006C13B0">
                  <w:rPr>
                    <w:b/>
                  </w:rPr>
                  <w:t>Aḥmad Fāris</w:t>
                </w:r>
                <w:r w:rsidR="00167432">
                  <w:rPr>
                    <w:b/>
                  </w:rPr>
                  <w:t>;</w:t>
                </w:r>
                <w:r w:rsidR="00167432" w:rsidRPr="006C13B0">
                  <w:rPr>
                    <w:b/>
                  </w:rPr>
                  <w:t xml:space="preserve"> </w:t>
                </w:r>
                <w:r w:rsidR="00A51FBA" w:rsidRPr="006C13B0">
                  <w:rPr>
                    <w:b/>
                  </w:rPr>
                  <w:t>Chidiac</w:t>
                </w:r>
                <w:r w:rsidR="00167432">
                  <w:rPr>
                    <w:b/>
                  </w:rPr>
                  <w:t xml:space="preserve">, </w:t>
                </w:r>
                <w:r w:rsidR="00167432" w:rsidRPr="006C13B0">
                  <w:rPr>
                    <w:b/>
                  </w:rPr>
                  <w:t>Ahmad Faris</w:t>
                </w:r>
                <w:r w:rsidR="00167432">
                  <w:rPr>
                    <w:b/>
                  </w:rPr>
                  <w:t>;</w:t>
                </w:r>
                <w:r w:rsidR="006C13B0" w:rsidRPr="006C13B0">
                  <w:rPr>
                    <w:b/>
                  </w:rPr>
                  <w:t xml:space="preserve"> </w:t>
                </w:r>
                <w:r w:rsidR="006C13B0" w:rsidRPr="006C13B0">
                  <w:rPr>
                    <w:rFonts w:hint="cs"/>
                    <w:b/>
                    <w:rtl/>
                    <w:lang w:bidi="ar-EG"/>
                  </w:rPr>
                  <w:t>أحمد فارس الشدياق</w:t>
                </w:r>
              </w:p>
            </w:tc>
          </w:sdtContent>
        </w:sdt>
      </w:tr>
      <w:tr w:rsidR="00E85A05" w14:paraId="6E747B15" w14:textId="77777777"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14:paraId="69975A6A" w14:textId="77777777" w:rsidR="00E85A05" w:rsidRDefault="00521718" w:rsidP="00AC1B6F">
                <w:r w:rsidRPr="0075098E">
                  <w:t>Aḥmad Fāris al-Shidyāq was a Lebanese writer and journalist and one of the most provocative figures of the Nahḍa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 xml:space="preserve">al-Sāq ʿalā </w:t>
                </w:r>
                <w:r w:rsidR="00AC1B6F">
                  <w:rPr>
                    <w:i/>
                    <w:iCs/>
                  </w:rPr>
                  <w:t>l</w:t>
                </w:r>
                <w:r w:rsidRPr="0075098E">
                  <w:rPr>
                    <w:i/>
                    <w:iCs/>
                  </w:rPr>
                  <w:t>-sāq</w:t>
                </w:r>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xml:space="preserve">. In Istanbul, al-Shidyāq founded </w:t>
                </w:r>
                <w:r>
                  <w:t xml:space="preserve">in </w:t>
                </w:r>
                <w:r w:rsidRPr="0075098E">
                  <w:t xml:space="preserve">1861 </w:t>
                </w:r>
                <w:r w:rsidRPr="0075098E">
                  <w:rPr>
                    <w:i/>
                    <w:iCs/>
                  </w:rPr>
                  <w:t>al-Jawāʾib</w:t>
                </w:r>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14:paraId="734D90FA" w14:textId="77777777"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14:paraId="05A2C806" w14:textId="77777777" w:rsidR="0039366B" w:rsidRDefault="0039366B" w:rsidP="00BE0414">
                <w:r w:rsidRPr="0075098E">
                  <w:t>Fāris al-Shidyāq</w:t>
                </w:r>
                <w:r w:rsidRPr="0017464E">
                  <w:t>, later Aḥmad Fāris Efendi,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Asʿad converted to Protestantism and was p</w:t>
                </w:r>
                <w:r>
                  <w:t>er</w:t>
                </w:r>
                <w:r w:rsidRPr="0075098E">
                  <w:t xml:space="preserve">secuted by the Maronite clergy, Fāris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proofreader,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al-Waqāʾiʿ al-miṣriyya</w:t>
                </w:r>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14:paraId="50E0372A" w14:textId="77777777" w:rsidR="0039366B" w:rsidRPr="0075098E" w:rsidRDefault="0039366B" w:rsidP="00AC1B6F"/>
              <w:p w14:paraId="44B12DCF" w14:textId="77777777" w:rsidR="0039366B" w:rsidRDefault="0039366B" w:rsidP="0017464E">
                <w:r>
                  <w:t xml:space="preserve">In 1848, al-Shidyāq moved to </w:t>
                </w:r>
                <w:r w:rsidRPr="0075098E">
                  <w:t xml:space="preserve">England, </w:t>
                </w:r>
                <w:r w:rsidRPr="0017464E">
                  <w:t xml:space="preserve">where he </w:t>
                </w:r>
                <w:r w:rsidR="0017464E">
                  <w:t>later</w:t>
                </w:r>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r w:rsidRPr="0075098E">
                  <w:rPr>
                    <w:i/>
                    <w:iCs/>
                  </w:rPr>
                  <w:t>Mumāḥakāt al-taʾwīl fī mun</w:t>
                </w:r>
                <w:r w:rsidR="00AC1B6F" w:rsidRPr="0075098E">
                  <w:rPr>
                    <w:i/>
                    <w:iCs/>
                  </w:rPr>
                  <w:t>ā</w:t>
                </w:r>
                <w:r w:rsidRPr="0075098E">
                  <w:rPr>
                    <w:i/>
                    <w:iCs/>
                  </w:rPr>
                  <w:t>qaḍāt al-Injīl</w:t>
                </w:r>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14:paraId="5C373916" w14:textId="77777777" w:rsidR="0039366B" w:rsidRPr="0075098E" w:rsidRDefault="0039366B" w:rsidP="0039366B">
                <w:pPr>
                  <w:pStyle w:val="NormalfollowingH2"/>
                </w:pPr>
              </w:p>
              <w:p w14:paraId="4D95E77E" w14:textId="77777777" w:rsidR="0039366B" w:rsidRDefault="00F67E9B" w:rsidP="00F67E9B">
                <w:pPr>
                  <w:pStyle w:val="Heading1"/>
                  <w:spacing w:after="0"/>
                  <w:outlineLvl w:val="0"/>
                </w:pPr>
                <w:r>
                  <w:t>The Literary W</w:t>
                </w:r>
                <w:r w:rsidR="0039366B">
                  <w:t xml:space="preserve">ork </w:t>
                </w:r>
                <w:r w:rsidR="0039366B" w:rsidRPr="002B1CD5">
                  <w:rPr>
                    <w:i/>
                    <w:iCs/>
                  </w:rPr>
                  <w:t>al-Sāq ʿalā l-sāq</w:t>
                </w:r>
              </w:p>
              <w:p w14:paraId="0ADEB933" w14:textId="77777777" w:rsidR="0039366B" w:rsidRDefault="0039366B" w:rsidP="0017464E">
                <w:r w:rsidRPr="0075098E">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al-Sāq ʿalā l-sāq fī mā huwa l-Fāryāq</w:t>
                </w:r>
                <w:r w:rsidRPr="0075098E">
                  <w:t xml:space="preserve"> </w:t>
                </w:r>
                <w:r w:rsidRPr="0075098E">
                  <w:rPr>
                    <w:i/>
                    <w:iCs/>
                  </w:rPr>
                  <w:t xml:space="preserve">aw ayyām </w:t>
                </w:r>
                <w:r w:rsidRPr="0075098E">
                  <w:rPr>
                    <w:i/>
                    <w:iCs/>
                  </w:rPr>
                  <w:lastRenderedPageBreak/>
                  <w:t>wa-shuhūr wa-aʿwām fī ʿajm al-ʿarab wa-l-aʿjām</w:t>
                </w:r>
                <w:r w:rsidRPr="0075098E">
                  <w:t xml:space="preserve"> (</w:t>
                </w:r>
                <w:r w:rsidRPr="0075098E">
                  <w:rPr>
                    <w:i/>
                    <w:iCs/>
                  </w:rPr>
                  <w:t>Leg Over Leg. On the Person al-Faryāq.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Al-Bagdadi states</w:t>
                </w:r>
                <w:r w:rsidRPr="0017464E">
                  <w:t xml:space="preserve">, </w:t>
                </w:r>
                <w:r w:rsidR="00F668DE" w:rsidRPr="0017464E">
                  <w:t>‘</w:t>
                </w:r>
                <w:r w:rsidRPr="0017464E">
                  <w:t xml:space="preserve">a </w:t>
                </w:r>
                <w:r w:rsidR="0017464E">
                  <w:t>unique literary expression of its time</w:t>
                </w:r>
                <w:r w:rsidR="00F668DE" w:rsidRPr="0017464E">
                  <w:t>’</w:t>
                </w:r>
                <w:r w:rsidR="00BE0414" w:rsidRPr="0017464E">
                  <w:t xml:space="preserve"> (Al-Bagdadi 39</w:t>
                </w:r>
                <w:r w:rsidR="0017464E">
                  <w:t>5</w:t>
                </w:r>
                <w:r w:rsidR="00BE0414" w:rsidRPr="0017464E">
                  <w:t>).</w:t>
                </w:r>
                <w:r w:rsidR="00BE0414">
                  <w:t xml:space="preserve"> </w:t>
                </w:r>
              </w:p>
              <w:p w14:paraId="1D7386A3" w14:textId="77777777" w:rsidR="0039366B" w:rsidRPr="0075098E" w:rsidRDefault="0039366B" w:rsidP="00AC1B6F"/>
              <w:p w14:paraId="7400DC06" w14:textId="77777777" w:rsidR="0039366B" w:rsidRDefault="0039366B" w:rsidP="00025C00">
                <w:r>
                  <w:rPr>
                    <w:i/>
                    <w:iCs/>
                  </w:rPr>
                  <w:t>A</w:t>
                </w:r>
                <w:r w:rsidRPr="0075098E">
                  <w:rPr>
                    <w:i/>
                    <w:iCs/>
                  </w:rPr>
                  <w:t>l-Sāq</w:t>
                </w:r>
                <w:r w:rsidRPr="0075098E">
                  <w:t xml:space="preserve"> basically narrates the life, adventures and opinions of the protagonist al-Fāryāq, a compound of the author’s name (</w:t>
                </w:r>
                <w:r w:rsidRPr="0075098E">
                  <w:rPr>
                    <w:i/>
                    <w:iCs/>
                  </w:rPr>
                  <w:t>Fār</w:t>
                </w:r>
                <w:r w:rsidRPr="0075098E">
                  <w:t>-is Shid-</w:t>
                </w:r>
                <w:r w:rsidRPr="0075098E">
                  <w:rPr>
                    <w:i/>
                    <w:iCs/>
                  </w:rPr>
                  <w:t>yāq</w:t>
                </w:r>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al-Fāryāqiyya, who is the wife of al-Fāryāq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l-Sāq</w:t>
                </w:r>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14:paraId="6005D6F3" w14:textId="77777777" w:rsidR="0039366B" w:rsidRPr="0075098E" w:rsidRDefault="0039366B" w:rsidP="00AC1B6F"/>
              <w:p w14:paraId="5B142362" w14:textId="77777777" w:rsidR="004141D6" w:rsidRDefault="0039366B" w:rsidP="00025C00">
                <w:r w:rsidRPr="0075098E">
                  <w:t xml:space="preserve">The narrative of </w:t>
                </w:r>
                <w:r w:rsidRPr="0075098E">
                  <w:rPr>
                    <w:i/>
                    <w:iCs/>
                  </w:rPr>
                  <w:t>al-Sāq</w:t>
                </w:r>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r w:rsidRPr="0075098E">
                  <w:rPr>
                    <w:i/>
                    <w:iCs/>
                  </w:rPr>
                  <w:t>maqāmas</w:t>
                </w:r>
                <w:r w:rsidRPr="0075098E">
                  <w:t xml:space="preserve">, a highly renowned genre of Arabic literature in rhymed prose, in order to show off his literary and linguistic skills, he ridicules the </w:t>
                </w:r>
                <w:r w:rsidRPr="0075098E">
                  <w:rPr>
                    <w:i/>
                    <w:iCs/>
                  </w:rPr>
                  <w:t>maqāma</w:t>
                </w:r>
                <w:r w:rsidRPr="0075098E">
                  <w:t xml:space="preserve"> (and himself) with a lisping narrator. Importantly, </w:t>
                </w:r>
                <w:r w:rsidRPr="0075098E">
                  <w:rPr>
                    <w:i/>
                    <w:iCs/>
                  </w:rPr>
                  <w:t xml:space="preserve">al-Sāq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al-F</w:t>
                </w:r>
                <w:r w:rsidR="00AC1B6F" w:rsidRPr="0075098E">
                  <w:t>ī</w:t>
                </w:r>
                <w:r w:rsidRPr="0075098E">
                  <w:t xml:space="preserve">rūzābādī’s </w:t>
                </w:r>
                <w:r w:rsidRPr="00B40A9B">
                  <w:t>(d. 1415) dictionary</w:t>
                </w:r>
                <w:r w:rsidRPr="0075098E">
                  <w:t xml:space="preserve"> </w:t>
                </w:r>
                <w:r w:rsidRPr="0075098E">
                  <w:rPr>
                    <w:i/>
                    <w:iCs/>
                  </w:rPr>
                  <w:t>al-Qāmūs al-</w:t>
                </w:r>
                <w:r w:rsidRPr="00AC1B6F">
                  <w:rPr>
                    <w:i/>
                    <w:iCs/>
                  </w:rPr>
                  <w:t>muḥ</w:t>
                </w:r>
                <w:r w:rsidR="00AC1B6F" w:rsidRPr="00AC1B6F">
                  <w:rPr>
                    <w:i/>
                    <w:iCs/>
                  </w:rPr>
                  <w:t>ī</w:t>
                </w:r>
                <w:r w:rsidRPr="00AC1B6F">
                  <w:rPr>
                    <w:i/>
                    <w:iCs/>
                  </w:rPr>
                  <w:t>ṭ</w:t>
                </w:r>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 xml:space="preserve">words for ‘steatopygous’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 xml:space="preserve">Tarek El-Ariss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14:paraId="2E9E5127" w14:textId="77777777" w:rsidR="004141D6" w:rsidRDefault="004141D6" w:rsidP="00AC1B6F"/>
              <w:p w14:paraId="0A9C03E3" w14:textId="77777777"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al-Sāq</w:t>
                </w:r>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14:paraId="1E4DD037" w14:textId="77777777" w:rsidR="00AC1B6F" w:rsidRDefault="00AC1B6F" w:rsidP="00AC1B6F"/>
              <w:p w14:paraId="2A39A307" w14:textId="77777777" w:rsidR="0039366B" w:rsidRDefault="0039366B" w:rsidP="00AC1B6F">
                <w:r w:rsidRPr="0075098E">
                  <w:t>In addition to this fictional travel account, al-Shidyāq authored two more factual accounts</w:t>
                </w:r>
                <w:r w:rsidR="00F668DE">
                  <w:t>, one of</w:t>
                </w:r>
                <w:r w:rsidRPr="0075098E">
                  <w:t xml:space="preserve"> Malta, namely </w:t>
                </w:r>
                <w:r w:rsidRPr="0075098E">
                  <w:rPr>
                    <w:i/>
                    <w:iCs/>
                  </w:rPr>
                  <w:t>al-Wāsiṭa ilā maʿrifat aḥwāl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r w:rsidRPr="0075098E">
                  <w:rPr>
                    <w:i/>
                    <w:iCs/>
                  </w:rPr>
                  <w:t>Kashf al-mukhabbā ʿan funūn Ūrubbā</w:t>
                </w:r>
                <w:r w:rsidRPr="0075098E">
                  <w:t xml:space="preserve"> (</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al-Sāq</w:t>
                </w:r>
                <w:r w:rsidRPr="0075098E">
                  <w:t xml:space="preserve"> with statistics and figures, historical sketches</w:t>
                </w:r>
                <w:r w:rsidR="00F668DE">
                  <w:t>,</w:t>
                </w:r>
                <w:r w:rsidRPr="0075098E">
                  <w:t xml:space="preserve"> and personal anecdotes. </w:t>
                </w:r>
              </w:p>
              <w:p w14:paraId="002FFD3E" w14:textId="77777777" w:rsidR="0039366B" w:rsidRPr="0075098E" w:rsidRDefault="0039366B" w:rsidP="0039366B">
                <w:pPr>
                  <w:pStyle w:val="NormalfollowingH2"/>
                </w:pPr>
                <w:r w:rsidRPr="0075098E">
                  <w:lastRenderedPageBreak/>
                  <w:t xml:space="preserve"> </w:t>
                </w:r>
              </w:p>
              <w:p w14:paraId="4C12E1C1" w14:textId="77777777" w:rsidR="0039366B" w:rsidRDefault="00F67E9B" w:rsidP="00F67E9B">
                <w:pPr>
                  <w:pStyle w:val="Heading1"/>
                  <w:spacing w:after="0"/>
                  <w:outlineLvl w:val="0"/>
                </w:pPr>
                <w:r>
                  <w:t>The N</w:t>
                </w:r>
                <w:r w:rsidR="0039366B">
                  <w:t xml:space="preserve">ewspaper </w:t>
                </w:r>
                <w:r w:rsidR="0039366B" w:rsidRPr="002B1CD5">
                  <w:rPr>
                    <w:i/>
                    <w:iCs/>
                  </w:rPr>
                  <w:t>al-Jawāʾib</w:t>
                </w:r>
              </w:p>
              <w:p w14:paraId="0B6B85BB" w14:textId="77777777" w:rsidR="0039366B" w:rsidRDefault="0039366B" w:rsidP="00AC1B6F">
                <w:r w:rsidRPr="0075098E">
                  <w:t>In 1857, al-Shidyāq moved to Tunis, where he embraced Islam and adopted the name Aḥmad.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al-Jawāʾib</w:t>
                </w:r>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al-Shidyāq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al-Jawāʾib</w:t>
                </w:r>
                <w:r w:rsidRPr="0075098E">
                  <w:t>, al-Shidyāq also acts as a modernizer of language</w:t>
                </w:r>
                <w:r>
                  <w:t>,</w:t>
                </w:r>
                <w:r w:rsidRPr="0075098E">
                  <w:t xml:space="preserve"> </w:t>
                </w:r>
                <w:r>
                  <w:t xml:space="preserve">coining and </w:t>
                </w:r>
                <w:r w:rsidRPr="0075098E">
                  <w:t xml:space="preserve">introducing many new words that entered modern Arabic, like the term </w:t>
                </w:r>
                <w:r w:rsidRPr="0075098E">
                  <w:rPr>
                    <w:i/>
                    <w:iCs/>
                  </w:rPr>
                  <w:t>ishtirākiyya</w:t>
                </w:r>
                <w:r w:rsidRPr="0075098E">
                  <w:t xml:space="preserve"> for ‘socialism’. </w:t>
                </w:r>
              </w:p>
              <w:p w14:paraId="36F605EA" w14:textId="77777777" w:rsidR="003A595B" w:rsidRPr="0075098E" w:rsidRDefault="003A595B" w:rsidP="00AC1B6F"/>
              <w:p w14:paraId="174DB794" w14:textId="77777777" w:rsidR="0039366B" w:rsidRDefault="0039366B" w:rsidP="002F35E1">
                <w:r w:rsidRPr="0075098E">
                  <w:t xml:space="preserve">Though an influential modernizer of the Arabic language, he was at the same time a passionate defender of </w:t>
                </w:r>
                <w:r>
                  <w:t xml:space="preserve">the </w:t>
                </w:r>
                <w:r w:rsidRPr="0075098E">
                  <w:t xml:space="preserve">classical Arabic language. In 1867, al-Shidyāq published in Istanbul </w:t>
                </w:r>
                <w:r w:rsidRPr="0075098E">
                  <w:rPr>
                    <w:i/>
                    <w:iCs/>
                  </w:rPr>
                  <w:t>Sirr al-layāl fī l-qalb wa-l-ibdāl</w:t>
                </w:r>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al-Jāsūs ʿalā l-Qāmūs</w:t>
                </w:r>
                <w:r w:rsidRPr="0075098E">
                  <w:t xml:space="preserve"> (</w:t>
                </w:r>
                <w:r w:rsidRPr="0075098E">
                  <w:rPr>
                    <w:i/>
                    <w:iCs/>
                  </w:rPr>
                  <w:t>Spying on al-Qāmūs</w:t>
                </w:r>
                <w:r w:rsidRPr="0075098E">
                  <w:t xml:space="preserve">), a critical treaty on al-Fīrūzābādī’s dictionary </w:t>
                </w:r>
                <w:r w:rsidRPr="0075098E">
                  <w:rPr>
                    <w:i/>
                    <w:iCs/>
                  </w:rPr>
                  <w:t>al-Qāmūs</w:t>
                </w:r>
                <w:r w:rsidRPr="0075098E">
                  <w:t xml:space="preserve">, that calls for a modern dictionary for the classical language. In 1870, al-Shidyāq founded in Istanbul the </w:t>
                </w:r>
                <w:r w:rsidRPr="004F774D">
                  <w:rPr>
                    <w:iCs/>
                  </w:rPr>
                  <w:t>al-Jawāʾib</w:t>
                </w:r>
                <w:r w:rsidRPr="0075098E">
                  <w:t xml:space="preserve"> </w:t>
                </w:r>
                <w:r w:rsidR="00F668DE" w:rsidRPr="0075098E">
                  <w:t xml:space="preserve">press </w:t>
                </w:r>
                <w:r w:rsidRPr="0075098E">
                  <w:t xml:space="preserve">to make the literary and linguistic heritage accessible to a wider public. </w:t>
                </w:r>
              </w:p>
              <w:p w14:paraId="1B886CE1" w14:textId="77777777" w:rsidR="003A595B" w:rsidRPr="0075098E" w:rsidRDefault="003A595B" w:rsidP="00AC1B6F"/>
              <w:p w14:paraId="5BC5AB7C" w14:textId="77777777" w:rsidR="0039366B" w:rsidRDefault="0039366B" w:rsidP="004F774D">
                <w:r w:rsidRPr="0075098E">
                  <w:t>When al-Shidyāq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xml:space="preserve">. In the end, al-Shidyāq had an interdenominational ceremony and was buried, according to his will, in the cemetery of </w:t>
                </w:r>
                <w:r w:rsidRPr="00B80EE9">
                  <w:t>Ḥāzimiyya,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 xml:space="preserve">l-Shidyāq was a controversial and eccentric key figure of the </w:t>
                </w:r>
                <w:r>
                  <w:t>nineteenth-</w:t>
                </w:r>
                <w:r w:rsidRPr="0075098E">
                  <w:t>century Nahḍa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00401CE7">
                  <w:t>.</w:t>
                </w:r>
              </w:p>
              <w:p w14:paraId="49509348" w14:textId="77777777" w:rsidR="00401CE7" w:rsidRDefault="00401CE7" w:rsidP="004F774D"/>
              <w:p w14:paraId="332F05D4" w14:textId="77777777" w:rsidR="002A244A" w:rsidRDefault="00401CE7" w:rsidP="002A244A">
                <w:pPr>
                  <w:keepNext/>
                </w:pPr>
                <w:r>
                  <w:t>File: Ahmad1.jpg</w:t>
                </w:r>
              </w:p>
              <w:p w14:paraId="2DFF533C" w14:textId="77777777" w:rsidR="00401CE7" w:rsidRDefault="002A244A" w:rsidP="002A244A">
                <w:pPr>
                  <w:pStyle w:val="Caption"/>
                  <w:spacing w:after="0"/>
                </w:pPr>
                <w:r>
                  <w:t xml:space="preserve">Figure </w:t>
                </w:r>
                <w:r w:rsidR="00E96119">
                  <w:fldChar w:fldCharType="begin"/>
                </w:r>
                <w:r w:rsidR="00E96119">
                  <w:instrText xml:space="preserve"> SEQ Figure \* ARABIC </w:instrText>
                </w:r>
                <w:r w:rsidR="00E96119">
                  <w:fldChar w:fldCharType="separate"/>
                </w:r>
                <w:r>
                  <w:rPr>
                    <w:noProof/>
                  </w:rPr>
                  <w:t>1</w:t>
                </w:r>
                <w:r w:rsidR="00E96119">
                  <w:rPr>
                    <w:noProof/>
                  </w:rPr>
                  <w:fldChar w:fldCharType="end"/>
                </w:r>
                <w:r>
                  <w:t xml:space="preserve">. </w:t>
                </w:r>
                <w:r w:rsidRPr="00C7462F">
                  <w:t>Aḥ</w:t>
                </w:r>
                <w:r>
                  <w:t>mad Fāris al-Shidyāq</w:t>
                </w:r>
              </w:p>
              <w:p w14:paraId="3728E7A2" w14:textId="77777777" w:rsidR="00401CE7" w:rsidRPr="0075098E" w:rsidRDefault="00401CE7" w:rsidP="004F774D">
                <w:r>
                  <w:t>Source: &lt;</w:t>
                </w:r>
                <w:r w:rsidRPr="00401CE7">
                  <w:t>http://littlestarjournal.com/blog/2014/06/ahmad-faris-al-shidyaq-in-praise-of-analepsis/</w:t>
                </w:r>
                <w:r>
                  <w:t>&gt;</w:t>
                </w:r>
              </w:p>
              <w:p w14:paraId="374B0C97" w14:textId="77777777" w:rsidR="00401CE7" w:rsidRDefault="00401CE7" w:rsidP="00401CE7"/>
              <w:p w14:paraId="552ED56B" w14:textId="77777777" w:rsidR="002A244A" w:rsidRDefault="00401CE7" w:rsidP="002A244A">
                <w:pPr>
                  <w:keepNext/>
                </w:pPr>
                <w:r>
                  <w:t>File: Ahmad2.jpg</w:t>
                </w:r>
              </w:p>
              <w:p w14:paraId="00BE5E8A" w14:textId="77777777" w:rsidR="00401CE7" w:rsidRDefault="002A244A" w:rsidP="002A244A">
                <w:pPr>
                  <w:pStyle w:val="Caption"/>
                  <w:spacing w:after="0"/>
                </w:pPr>
                <w:r>
                  <w:t xml:space="preserve">Figure </w:t>
                </w:r>
                <w:r w:rsidR="00E96119">
                  <w:fldChar w:fldCharType="begin"/>
                </w:r>
                <w:r w:rsidR="00E96119">
                  <w:instrText xml:space="preserve"> SEQ Figure \* ARABIC </w:instrText>
                </w:r>
                <w:r w:rsidR="00E96119">
                  <w:fldChar w:fldCharType="separate"/>
                </w:r>
                <w:r>
                  <w:rPr>
                    <w:noProof/>
                  </w:rPr>
                  <w:t>2</w:t>
                </w:r>
                <w:r w:rsidR="00E96119">
                  <w:rPr>
                    <w:noProof/>
                  </w:rPr>
                  <w:fldChar w:fldCharType="end"/>
                </w:r>
                <w:r>
                  <w:t>. A</w:t>
                </w:r>
                <w:r w:rsidRPr="005E688C">
                  <w:t>lternative picture of Shidyaq (from a book from 1950)</w:t>
                </w:r>
              </w:p>
              <w:p w14:paraId="223D807E" w14:textId="77777777" w:rsidR="00401CE7" w:rsidRPr="0075098E" w:rsidRDefault="00401CE7" w:rsidP="00401CE7">
                <w:r>
                  <w:t xml:space="preserve">Source: </w:t>
                </w:r>
                <w:commentRangeStart w:id="0"/>
                <w:r w:rsidR="00FF0C43">
                  <w:rPr>
                    <w:highlight w:val="yellow"/>
                  </w:rPr>
                  <w:t>couldn’t find source</w:t>
                </w:r>
                <w:commentRangeEnd w:id="0"/>
                <w:r w:rsidR="00FF0C43">
                  <w:rPr>
                    <w:rStyle w:val="CommentReference"/>
                  </w:rPr>
                  <w:commentReference w:id="0"/>
                </w:r>
              </w:p>
              <w:p w14:paraId="2C7729A2" w14:textId="77777777" w:rsidR="00401CE7" w:rsidRDefault="00401CE7" w:rsidP="00401CE7"/>
              <w:p w14:paraId="7284F23E" w14:textId="77777777" w:rsidR="002A244A" w:rsidRDefault="00401CE7" w:rsidP="002A244A">
                <w:pPr>
                  <w:keepNext/>
                </w:pPr>
                <w:r>
                  <w:t>File: al-Saq.jpg</w:t>
                </w:r>
              </w:p>
              <w:p w14:paraId="714E3A88" w14:textId="77777777" w:rsidR="00401CE7" w:rsidRDefault="002A244A" w:rsidP="002A244A">
                <w:pPr>
                  <w:pStyle w:val="Caption"/>
                  <w:spacing w:after="0"/>
                </w:pPr>
                <w:r>
                  <w:t xml:space="preserve">Figure </w:t>
                </w:r>
                <w:r w:rsidR="00E96119">
                  <w:fldChar w:fldCharType="begin"/>
                </w:r>
                <w:r w:rsidR="00E96119">
                  <w:instrText xml:space="preserve"> </w:instrText>
                </w:r>
                <w:r w:rsidR="00E96119">
                  <w:instrText xml:space="preserve">SEQ Figure \* ARABIC </w:instrText>
                </w:r>
                <w:r w:rsidR="00E96119">
                  <w:fldChar w:fldCharType="separate"/>
                </w:r>
                <w:r>
                  <w:rPr>
                    <w:noProof/>
                  </w:rPr>
                  <w:t>3</w:t>
                </w:r>
                <w:r w:rsidR="00E96119">
                  <w:rPr>
                    <w:noProof/>
                  </w:rPr>
                  <w:fldChar w:fldCharType="end"/>
                </w:r>
                <w:r>
                  <w:t xml:space="preserve">. </w:t>
                </w:r>
                <w:r w:rsidRPr="0051229B">
                  <w:t>The Arabic-French title page of al-Sāq ʿalā l-sāq fī mā huwa l-Fāryāq, published 1855 in Paris</w:t>
                </w:r>
              </w:p>
              <w:p w14:paraId="61285B55" w14:textId="77777777" w:rsidR="00401CE7" w:rsidRPr="0075098E" w:rsidRDefault="00401CE7" w:rsidP="00401CE7">
                <w:commentRangeStart w:id="1"/>
                <w:r>
                  <w:t xml:space="preserve">Source: </w:t>
                </w:r>
                <w:r w:rsidR="00FF0C43">
                  <w:rPr>
                    <w:highlight w:val="yellow"/>
                  </w:rPr>
                  <w:t>couldn’t find source</w:t>
                </w:r>
                <w:commentRangeEnd w:id="1"/>
                <w:r w:rsidR="00FF0C43">
                  <w:rPr>
                    <w:rStyle w:val="CommentReference"/>
                  </w:rPr>
                  <w:commentReference w:id="1"/>
                </w:r>
              </w:p>
              <w:p w14:paraId="6444A351" w14:textId="77777777" w:rsidR="00401CE7" w:rsidRDefault="00401CE7" w:rsidP="00401CE7"/>
              <w:p w14:paraId="383A59A8" w14:textId="77777777" w:rsidR="002A244A" w:rsidRDefault="00401CE7" w:rsidP="002A244A">
                <w:pPr>
                  <w:keepNext/>
                </w:pPr>
                <w:r>
                  <w:t>File: al-Jawa.jpg</w:t>
                </w:r>
              </w:p>
              <w:p w14:paraId="318E45D8" w14:textId="77777777" w:rsidR="00401CE7" w:rsidRDefault="002A244A" w:rsidP="002A244A">
                <w:pPr>
                  <w:pStyle w:val="Caption"/>
                  <w:spacing w:after="0"/>
                </w:pPr>
                <w:r>
                  <w:t xml:space="preserve">Figure </w:t>
                </w:r>
                <w:r w:rsidR="00E96119">
                  <w:fldChar w:fldCharType="begin"/>
                </w:r>
                <w:r w:rsidR="00E96119">
                  <w:instrText xml:space="preserve"> SEQ Figure \* ARABIC </w:instrText>
                </w:r>
                <w:r w:rsidR="00E96119">
                  <w:fldChar w:fldCharType="separate"/>
                </w:r>
                <w:r>
                  <w:rPr>
                    <w:noProof/>
                  </w:rPr>
                  <w:t>4</w:t>
                </w:r>
                <w:r w:rsidR="00E96119">
                  <w:rPr>
                    <w:noProof/>
                  </w:rPr>
                  <w:fldChar w:fldCharType="end"/>
                </w:r>
                <w:r>
                  <w:t xml:space="preserve">. </w:t>
                </w:r>
                <w:r w:rsidRPr="00B44889">
                  <w:t>Extrac</w:t>
                </w:r>
                <w:r>
                  <w:t>t from the newspaper al-Jawāʾib</w:t>
                </w:r>
              </w:p>
              <w:p w14:paraId="3A1A31B5" w14:textId="77777777" w:rsidR="00401CE7" w:rsidRDefault="00401CE7" w:rsidP="00401CE7">
                <w:r>
                  <w:t>Source: &lt;</w:t>
                </w:r>
                <w:r w:rsidRPr="00401CE7">
                  <w:t>http://www.marefa.org/index.php/%D8%A3%D8%AD%D9%85%D8%AF_%D9%81%</w:t>
                </w:r>
              </w:p>
              <w:p w14:paraId="19F1B61D" w14:textId="77777777" w:rsidR="00401CE7" w:rsidRPr="0075098E" w:rsidRDefault="00401CE7" w:rsidP="00401CE7">
                <w:r w:rsidRPr="00401CE7">
                  <w:t>D8%A7%D8%B1%D8%B3_%D8%A7%D9%84%D8%B4%D8%AF%D9%8A%D8%A7%D9%82</w:t>
                </w:r>
                <w:r>
                  <w:t>&gt;</w:t>
                </w:r>
              </w:p>
              <w:p w14:paraId="68E42357" w14:textId="77777777" w:rsidR="0039366B" w:rsidRDefault="0039366B" w:rsidP="00AC1B6F"/>
              <w:p w14:paraId="132CB246" w14:textId="77777777" w:rsidR="0039366B" w:rsidRPr="0090073C" w:rsidRDefault="0090073C" w:rsidP="0090073C">
                <w:pPr>
                  <w:pStyle w:val="Heading1"/>
                  <w:spacing w:after="0"/>
                  <w:outlineLvl w:val="0"/>
                </w:pPr>
                <w:r>
                  <w:t>Selected List of Works</w:t>
                </w:r>
              </w:p>
              <w:p w14:paraId="34BFEFF6" w14:textId="77777777" w:rsidR="0039366B" w:rsidRDefault="0039366B" w:rsidP="00AC1B6F">
                <w:r w:rsidRPr="0075098E">
                  <w:rPr>
                    <w:i/>
                    <w:iCs/>
                  </w:rPr>
                  <w:t>Kitāb al-Sāq ʿalā s-sāq fī mā huwa l-Fāryāq</w:t>
                </w:r>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الفارياق </w:t>
                </w:r>
                <w:r w:rsidRPr="0075098E">
                  <w:t xml:space="preserve"> (</w:t>
                </w:r>
                <w:r w:rsidRPr="0075098E">
                  <w:rPr>
                    <w:i/>
                    <w:iCs/>
                  </w:rPr>
                  <w:t>The Book:</w:t>
                </w:r>
                <w:r w:rsidRPr="0075098E">
                  <w:t xml:space="preserve"> </w:t>
                </w:r>
                <w:r w:rsidRPr="0075098E">
                  <w:rPr>
                    <w:i/>
                    <w:iCs/>
                  </w:rPr>
                  <w:t>Leg Over Leg. On the Person al-Faryāq</w:t>
                </w:r>
                <w:r w:rsidRPr="0075098E">
                  <w:t>)</w:t>
                </w:r>
                <w:r>
                  <w:t>.</w:t>
                </w:r>
                <w:r w:rsidRPr="0075098E">
                  <w:t xml:space="preserve"> Paris 1855 (and later editions; </w:t>
                </w:r>
                <w:r w:rsidRPr="0075098E">
                  <w:rPr>
                    <w:i/>
                    <w:iCs/>
                  </w:rPr>
                  <w:t xml:space="preserve">Leg Over Leg, or: The Turtle in the </w:t>
                </w:r>
                <w:r w:rsidRPr="0075098E">
                  <w:rPr>
                    <w:i/>
                    <w:iCs/>
                  </w:rPr>
                  <w:lastRenderedPageBreak/>
                  <w:t xml:space="preserve">Tree Concerning The Fāriyāq,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14:paraId="4265839D" w14:textId="77777777" w:rsidR="0039366B" w:rsidRPr="0075098E" w:rsidRDefault="0039366B" w:rsidP="00AC1B6F"/>
              <w:p w14:paraId="4B76F04E" w14:textId="77777777" w:rsidR="0039366B" w:rsidRDefault="0039366B" w:rsidP="00AC1B6F">
                <w:r w:rsidRPr="0075098E">
                  <w:rPr>
                    <w:i/>
                    <w:iCs/>
                  </w:rPr>
                  <w:t>Kitāb al-Riḥla al-mawsūma bi-l-Wāsiṭa</w:t>
                </w:r>
                <w:r w:rsidRPr="0075098E">
                  <w:rPr>
                    <w:i/>
                    <w:iCs/>
                    <w:rtl/>
                  </w:rPr>
                  <w:t xml:space="preserve"> </w:t>
                </w:r>
                <w:r w:rsidRPr="0075098E">
                  <w:rPr>
                    <w:i/>
                    <w:iCs/>
                  </w:rPr>
                  <w:t>ilā maʿrifat aḥwāl Mālṭa wa-Kashf al-mukhabbā ʿan funūn Ūrubbā</w:t>
                </w:r>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أوربا </w:t>
                </w:r>
                <w:r w:rsidRPr="0075098E">
                  <w:rPr>
                    <w:lang w:bidi="ar-EG"/>
                  </w:rPr>
                  <w:t xml:space="preserve"> </w:t>
                </w:r>
                <w:r w:rsidRPr="0075098E">
                  <w:t>(</w:t>
                </w:r>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14:paraId="2CEDCB1C" w14:textId="77777777" w:rsidR="0039366B" w:rsidRPr="0075098E" w:rsidRDefault="0039366B" w:rsidP="00AC1B6F"/>
              <w:p w14:paraId="3995C4CB" w14:textId="77777777" w:rsidR="0039366B" w:rsidRDefault="0039366B" w:rsidP="00AC1B6F">
                <w:r w:rsidRPr="0075098E">
                  <w:rPr>
                    <w:i/>
                    <w:iCs/>
                  </w:rPr>
                  <w:t xml:space="preserve">Sirr al-layāl fī </w:t>
                </w:r>
                <w:r>
                  <w:rPr>
                    <w:i/>
                    <w:iCs/>
                  </w:rPr>
                  <w:t>l-qalb wa-l-ibdāl</w:t>
                </w:r>
                <w:r>
                  <w:t>:</w:t>
                </w:r>
                <w:r w:rsidRPr="0075098E">
                  <w:rPr>
                    <w:rtl/>
                    <w:lang w:bidi="ar-EG"/>
                  </w:rPr>
                  <w:t xml:space="preserve"> سر الليال في القلب والإبدال </w:t>
                </w:r>
                <w:r w:rsidRPr="0075098E">
                  <w:rPr>
                    <w:i/>
                    <w:iCs/>
                  </w:rPr>
                  <w:t xml:space="preserve"> </w:t>
                </w:r>
                <w:r w:rsidRPr="0075098E">
                  <w:t>(</w:t>
                </w:r>
                <w:r w:rsidRPr="0075098E">
                  <w:rPr>
                    <w:i/>
                    <w:iCs/>
                  </w:rPr>
                  <w:t>Secret of the Nights. On Metathesis and Permutation</w:t>
                </w:r>
                <w:r w:rsidRPr="0075098E">
                  <w:t>)</w:t>
                </w:r>
                <w:r>
                  <w:t>.</w:t>
                </w:r>
                <w:r w:rsidRPr="0075098E">
                  <w:t xml:space="preserve"> Istanbul 1867 (and Beirut 2006). </w:t>
                </w:r>
              </w:p>
              <w:p w14:paraId="41AB6E7F" w14:textId="77777777" w:rsidR="0039366B" w:rsidRPr="0075098E" w:rsidRDefault="0039366B" w:rsidP="00AC1B6F"/>
              <w:p w14:paraId="68BAD44D" w14:textId="77777777" w:rsidR="0039366B" w:rsidRDefault="0039366B" w:rsidP="00025C00">
                <w:pPr>
                  <w:rPr>
                    <w:iCs/>
                  </w:rPr>
                </w:pPr>
                <w:r w:rsidRPr="0075098E">
                  <w:rPr>
                    <w:i/>
                    <w:iCs/>
                  </w:rPr>
                  <w:t>Kanz al-ra</w:t>
                </w:r>
                <w:r w:rsidR="00025C00">
                  <w:rPr>
                    <w:i/>
                    <w:iCs/>
                  </w:rPr>
                  <w:t>gh</w:t>
                </w:r>
                <w:r w:rsidRPr="0075098E">
                  <w:rPr>
                    <w:i/>
                    <w:iCs/>
                  </w:rPr>
                  <w:t>āʾib fī munta</w:t>
                </w:r>
                <w:r w:rsidR="00025C00">
                  <w:rPr>
                    <w:i/>
                    <w:iCs/>
                  </w:rPr>
                  <w:t>kh</w:t>
                </w:r>
                <w:r w:rsidRPr="0075098E">
                  <w:rPr>
                    <w:i/>
                    <w:iCs/>
                  </w:rPr>
                  <w:t>abāt al-Jawāʾib</w:t>
                </w:r>
                <w:r>
                  <w:t>:</w:t>
                </w:r>
                <w:r w:rsidRPr="0075098E">
                  <w:rPr>
                    <w:i/>
                    <w:iCs/>
                  </w:rPr>
                  <w:t xml:space="preserve"> </w:t>
                </w:r>
                <w:r w:rsidRPr="0075098E">
                  <w:rPr>
                    <w:rtl/>
                    <w:lang w:bidi="ar-EG"/>
                  </w:rPr>
                  <w:t xml:space="preserve">كنز الرغائب في منتخبات الجوائب </w:t>
                </w:r>
                <w:r w:rsidRPr="0075098E">
                  <w:rPr>
                    <w:lang w:bidi="ar-EG"/>
                  </w:rPr>
                  <w:t xml:space="preserve"> </w:t>
                </w:r>
                <w:r w:rsidRPr="0075098E">
                  <w:rPr>
                    <w:iCs/>
                  </w:rPr>
                  <w:t>(</w:t>
                </w:r>
                <w:r w:rsidRPr="0075098E">
                  <w:rPr>
                    <w:i/>
                  </w:rPr>
                  <w:t>A Treasure of Desire</w:t>
                </w:r>
                <w:r w:rsidR="003A595B">
                  <w:rPr>
                    <w:i/>
                    <w:lang w:val="de-DE"/>
                  </w:rPr>
                  <w:t>s</w:t>
                </w:r>
                <w:r w:rsidRPr="0075098E">
                  <w:rPr>
                    <w:i/>
                  </w:rPr>
                  <w:t xml:space="preserve">. Selections from </w:t>
                </w:r>
                <w:r w:rsidRPr="0075098E">
                  <w:rPr>
                    <w:iCs/>
                  </w:rPr>
                  <w:t xml:space="preserve">al-Jawāʾib). 7 vols. Istanbul 1871-1881. </w:t>
                </w:r>
              </w:p>
              <w:p w14:paraId="626F89D4" w14:textId="77777777" w:rsidR="0039366B" w:rsidRPr="0075098E" w:rsidRDefault="0039366B" w:rsidP="00AC1B6F">
                <w:pPr>
                  <w:rPr>
                    <w:iCs/>
                  </w:rPr>
                </w:pPr>
              </w:p>
              <w:p w14:paraId="6C076D85" w14:textId="77777777" w:rsidR="0039366B" w:rsidRPr="0075098E" w:rsidRDefault="0039366B" w:rsidP="00AC1B6F">
                <w:r w:rsidRPr="0075098E">
                  <w:rPr>
                    <w:i/>
                    <w:iCs/>
                  </w:rPr>
                  <w:t>al-Jāsūs ʿalā l-Qāmūs</w:t>
                </w:r>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14:paraId="7401698B" w14:textId="77777777" w:rsidR="0039366B" w:rsidRDefault="0039366B" w:rsidP="00AC1B6F">
                <w:pPr>
                  <w:rPr>
                    <w:i/>
                    <w:iCs/>
                  </w:rPr>
                </w:pPr>
              </w:p>
              <w:p w14:paraId="753AFECA" w14:textId="77777777" w:rsidR="003F0D73" w:rsidRPr="004443EC" w:rsidRDefault="0039366B" w:rsidP="00C27FAB">
                <w:pPr>
                  <w:rPr>
                    <w:lang w:val="de-DE"/>
                  </w:rPr>
                </w:pPr>
                <w:r w:rsidRPr="00006C66">
                  <w:rPr>
                    <w:i/>
                    <w:iCs/>
                  </w:rPr>
                  <w:t>Mumāḥakāt al-taʾwīl fī munaqaḍāt al-Injīl</w:t>
                </w:r>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rsidR="004443EC">
                  <w:t>. Amman 2003.</w:t>
                </w:r>
              </w:p>
            </w:tc>
          </w:sdtContent>
        </w:sdt>
      </w:tr>
      <w:tr w:rsidR="003235A7" w14:paraId="62FEAC01" w14:textId="77777777" w:rsidTr="003235A7">
        <w:tc>
          <w:tcPr>
            <w:tcW w:w="9016" w:type="dxa"/>
          </w:tcPr>
          <w:p w14:paraId="01BFC1EE" w14:textId="77777777" w:rsidR="003235A7" w:rsidRDefault="003235A7" w:rsidP="008A5B87">
            <w:r w:rsidRPr="0015114C">
              <w:rPr>
                <w:u w:val="single"/>
              </w:rPr>
              <w:lastRenderedPageBreak/>
              <w:t>Further reading</w:t>
            </w:r>
            <w:r>
              <w:t>:</w:t>
            </w:r>
          </w:p>
          <w:p w14:paraId="347F8BB9" w14:textId="77777777" w:rsidR="00D042F6" w:rsidRDefault="00E96119" w:rsidP="008A5B87">
            <w:sdt>
              <w:sdtPr>
                <w:id w:val="-1308083673"/>
                <w:citation/>
              </w:sdtPr>
              <w:sdtEndPr/>
              <w:sdtContent>
                <w:r w:rsidR="00F668DE">
                  <w:fldChar w:fldCharType="begin"/>
                </w:r>
                <w:r w:rsidR="00F668DE">
                  <w:rPr>
                    <w:lang w:val="en-US"/>
                  </w:rPr>
                  <w:instrText xml:space="preserve"> CITATION AlB99 \l 1033 </w:instrText>
                </w:r>
                <w:r w:rsidR="00F668DE">
                  <w:fldChar w:fldCharType="separate"/>
                </w:r>
                <w:r w:rsidR="00F668DE">
                  <w:rPr>
                    <w:noProof/>
                    <w:lang w:val="en-US"/>
                  </w:rPr>
                  <w:t>(Al-Bagdadi)</w:t>
                </w:r>
                <w:r w:rsidR="00F668DE">
                  <w:fldChar w:fldCharType="end"/>
                </w:r>
              </w:sdtContent>
            </w:sdt>
          </w:p>
          <w:sdt>
            <w:sdtPr>
              <w:alias w:val="Further reading"/>
              <w:tag w:val="furtherReading"/>
              <w:id w:val="-1516217107"/>
            </w:sdtPr>
            <w:sdtEndPr/>
            <w:sdtContent>
              <w:p w14:paraId="1C1FFDE5" w14:textId="77777777" w:rsidR="00D042F6" w:rsidRPr="0075098E" w:rsidRDefault="00E96119" w:rsidP="00D042F6">
                <w:sdt>
                  <w:sdtPr>
                    <w:id w:val="1123190957"/>
                    <w:citation/>
                  </w:sdtPr>
                  <w:sdtEndPr/>
                  <w:sdtContent>
                    <w:r w:rsidR="00F668DE">
                      <w:fldChar w:fldCharType="begin"/>
                    </w:r>
                    <w:r w:rsidR="00F668DE">
                      <w:rPr>
                        <w:lang w:val="en-US"/>
                      </w:rPr>
                      <w:instrText xml:space="preserve"> CITATION AlB15 \l 1033 </w:instrText>
                    </w:r>
                    <w:r w:rsidR="00F668DE">
                      <w:fldChar w:fldCharType="separate"/>
                    </w:r>
                    <w:r w:rsidR="00F668DE">
                      <w:rPr>
                        <w:noProof/>
                        <w:lang w:val="en-US"/>
                      </w:rPr>
                      <w:t xml:space="preserve"> (Al-Bagdadi, Trablousi and and Winckler, A Life in Praise of Words! Amhad Faris al-Shidyaq and the Nineteenth Century)</w:t>
                    </w:r>
                    <w:r w:rsidR="00F668DE">
                      <w:fldChar w:fldCharType="end"/>
                    </w:r>
                  </w:sdtContent>
                </w:sdt>
              </w:p>
              <w:p w14:paraId="125C01D3" w14:textId="77777777" w:rsidR="00D042F6" w:rsidRPr="0075098E" w:rsidRDefault="00E96119"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F668DE">
                      <w:rPr>
                        <w:noProof/>
                        <w:lang w:val="en-US"/>
                      </w:rPr>
                      <w:t>(Ashur)</w:t>
                    </w:r>
                    <w:r w:rsidR="00F668DE">
                      <w:fldChar w:fldCharType="end"/>
                    </w:r>
                  </w:sdtContent>
                </w:sdt>
              </w:p>
              <w:bookmarkStart w:id="3" w:name="OLE_LINK5"/>
              <w:bookmarkStart w:id="4" w:name="OLE_LINK6"/>
              <w:p w14:paraId="6EBEC800" w14:textId="77777777" w:rsidR="00D042F6" w:rsidRDefault="00E96119"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F668DE">
                      <w:rPr>
                        <w:noProof/>
                        <w:lang w:val="en-US"/>
                      </w:rPr>
                      <w:t>(Dāghir)</w:t>
                    </w:r>
                    <w:r w:rsidR="00F668DE">
                      <w:rPr>
                        <w:i/>
                        <w:iCs/>
                      </w:rPr>
                      <w:fldChar w:fldCharType="end"/>
                    </w:r>
                  </w:sdtContent>
                </w:sdt>
                <w:bookmarkEnd w:id="3"/>
                <w:bookmarkEnd w:id="4"/>
              </w:p>
              <w:p w14:paraId="280BABBA" w14:textId="77777777" w:rsidR="00D042F6" w:rsidRPr="0075098E" w:rsidRDefault="00E96119"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805051">
                      <w:rPr>
                        <w:noProof/>
                        <w:lang w:val="en-US"/>
                      </w:rPr>
                      <w:t>(El-Ariss)</w:t>
                    </w:r>
                    <w:r w:rsidR="00805051">
                      <w:fldChar w:fldCharType="end"/>
                    </w:r>
                  </w:sdtContent>
                </w:sdt>
              </w:p>
              <w:p w14:paraId="62C7BEA2" w14:textId="77777777" w:rsidR="00D042F6" w:rsidRPr="0075098E" w:rsidRDefault="00E96119"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37330">
                      <w:rPr>
                        <w:noProof/>
                        <w:lang w:val="en-US"/>
                      </w:rPr>
                      <w:t>(Hallaq)</w:t>
                    </w:r>
                    <w:r w:rsidR="00637330">
                      <w:fldChar w:fldCharType="end"/>
                    </w:r>
                  </w:sdtContent>
                </w:sdt>
              </w:p>
              <w:p w14:paraId="23E9324E" w14:textId="77777777" w:rsidR="00637330" w:rsidRDefault="00E96119"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37330">
                      <w:rPr>
                        <w:noProof/>
                        <w:lang w:val="en-US"/>
                      </w:rPr>
                      <w:t>(Hamarneh)</w:t>
                    </w:r>
                    <w:r w:rsidR="00637330">
                      <w:fldChar w:fldCharType="end"/>
                    </w:r>
                  </w:sdtContent>
                </w:sdt>
              </w:p>
              <w:p w14:paraId="443BB1ED" w14:textId="77777777" w:rsidR="00D042F6" w:rsidRDefault="00E96119"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37330">
                      <w:rPr>
                        <w:i/>
                        <w:iCs/>
                        <w:noProof/>
                        <w:lang w:val="en-US"/>
                      </w:rPr>
                      <w:t xml:space="preserve"> </w:t>
                    </w:r>
                    <w:r w:rsidR="00637330">
                      <w:rPr>
                        <w:noProof/>
                        <w:lang w:val="en-US"/>
                      </w:rPr>
                      <w:t>(Kilito)</w:t>
                    </w:r>
                    <w:r w:rsidR="00637330">
                      <w:rPr>
                        <w:i/>
                        <w:iCs/>
                      </w:rPr>
                      <w:fldChar w:fldCharType="end"/>
                    </w:r>
                  </w:sdtContent>
                </w:sdt>
              </w:p>
              <w:p w14:paraId="4125B7E6" w14:textId="77777777" w:rsidR="00D042F6" w:rsidRDefault="00E96119"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37330">
                      <w:rPr>
                        <w:noProof/>
                        <w:lang w:val="en-US"/>
                      </w:rPr>
                      <w:t>(Peled)</w:t>
                    </w:r>
                    <w:r w:rsidR="00637330">
                      <w:fldChar w:fldCharType="end"/>
                    </w:r>
                  </w:sdtContent>
                </w:sdt>
              </w:p>
              <w:p w14:paraId="5F0CD47C" w14:textId="77777777" w:rsidR="00637330" w:rsidRDefault="00E96119"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37330">
                      <w:rPr>
                        <w:noProof/>
                        <w:lang w:val="en-US"/>
                      </w:rPr>
                      <w:t>(Sacks)</w:t>
                    </w:r>
                    <w:r w:rsidR="00637330">
                      <w:fldChar w:fldCharType="end"/>
                    </w:r>
                  </w:sdtContent>
                </w:sdt>
              </w:p>
              <w:p w14:paraId="0A408266" w14:textId="77777777" w:rsidR="00D042F6" w:rsidRPr="0075098E" w:rsidRDefault="00E96119"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37330">
                      <w:rPr>
                        <w:noProof/>
                        <w:lang w:val="en-US"/>
                      </w:rPr>
                      <w:t>(Sawāʿī)</w:t>
                    </w:r>
                    <w:r w:rsidR="00637330">
                      <w:fldChar w:fldCharType="end"/>
                    </w:r>
                  </w:sdtContent>
                </w:sdt>
              </w:p>
              <w:p w14:paraId="67D7455D" w14:textId="77777777" w:rsidR="00D042F6" w:rsidRPr="0075098E" w:rsidRDefault="00E96119"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37330">
                      <w:rPr>
                        <w:noProof/>
                        <w:lang w:val="en-US"/>
                      </w:rPr>
                      <w:t>(Ṭarābulusī)</w:t>
                    </w:r>
                    <w:r w:rsidR="00637330">
                      <w:fldChar w:fldCharType="end"/>
                    </w:r>
                  </w:sdtContent>
                </w:sdt>
              </w:p>
              <w:p w14:paraId="488CF779" w14:textId="77777777" w:rsidR="003235A7" w:rsidRDefault="00E96119"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37330">
                      <w:rPr>
                        <w:noProof/>
                        <w:lang w:val="en-US"/>
                      </w:rPr>
                      <w:t>(Zakharia)</w:t>
                    </w:r>
                    <w:r w:rsidR="00637330">
                      <w:fldChar w:fldCharType="end"/>
                    </w:r>
                  </w:sdtContent>
                </w:sdt>
              </w:p>
            </w:sdtContent>
          </w:sdt>
        </w:tc>
      </w:tr>
    </w:tbl>
    <w:p w14:paraId="5F199467" w14:textId="77777777" w:rsidR="00637330" w:rsidRDefault="00637330"/>
    <w:sectPr w:rsidR="0063733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21:56:00Z" w:initials="YT">
    <w:p w14:paraId="54F1CF04" w14:textId="77777777" w:rsidR="00FF0C43" w:rsidRDefault="00FF0C43">
      <w:pPr>
        <w:pStyle w:val="CommentText"/>
      </w:pPr>
      <w:r>
        <w:rPr>
          <w:rStyle w:val="CommentReference"/>
        </w:rPr>
        <w:annotationRef/>
      </w:r>
      <w:r>
        <w:t>Image source needed</w:t>
      </w:r>
    </w:p>
  </w:comment>
  <w:comment w:id="1" w:author="Amy Tang" w:date="2016-07-12T21:56:00Z" w:initials="YT">
    <w:p w14:paraId="5B9FC097" w14:textId="77777777" w:rsidR="00FF0C43" w:rsidRDefault="00FF0C43">
      <w:pPr>
        <w:pStyle w:val="CommentText"/>
      </w:pPr>
      <w:r>
        <w:rPr>
          <w:rStyle w:val="CommentReference"/>
        </w:rPr>
        <w:annotationRef/>
      </w:r>
      <w:r>
        <w:t xml:space="preserve">Ditto </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1CF04" w15:done="0"/>
  <w15:commentEx w15:paraId="5B9FC0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EEBEC" w14:textId="77777777" w:rsidR="00E96119" w:rsidRDefault="00E96119" w:rsidP="007A0D55">
      <w:pPr>
        <w:spacing w:after="0" w:line="240" w:lineRule="auto"/>
      </w:pPr>
      <w:r>
        <w:separator/>
      </w:r>
    </w:p>
  </w:endnote>
  <w:endnote w:type="continuationSeparator" w:id="0">
    <w:p w14:paraId="2073B345" w14:textId="77777777" w:rsidR="00E96119" w:rsidRDefault="00E961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16A2D" w14:textId="77777777" w:rsidR="00E96119" w:rsidRDefault="00E96119" w:rsidP="007A0D55">
      <w:pPr>
        <w:spacing w:after="0" w:line="240" w:lineRule="auto"/>
      </w:pPr>
      <w:r>
        <w:separator/>
      </w:r>
    </w:p>
  </w:footnote>
  <w:footnote w:type="continuationSeparator" w:id="0">
    <w:p w14:paraId="44CE2C93" w14:textId="77777777" w:rsidR="00E96119" w:rsidRDefault="00E961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33F92" w14:textId="77777777"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9A7C02" w14:textId="77777777" w:rsidR="00637330" w:rsidRDefault="0063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32"/>
    <w:rsid w:val="00025C00"/>
    <w:rsid w:val="00032559"/>
    <w:rsid w:val="00052040"/>
    <w:rsid w:val="000B25AE"/>
    <w:rsid w:val="000B55AB"/>
    <w:rsid w:val="000D24DC"/>
    <w:rsid w:val="00101B2E"/>
    <w:rsid w:val="00116FA0"/>
    <w:rsid w:val="0015114C"/>
    <w:rsid w:val="00167432"/>
    <w:rsid w:val="0017464E"/>
    <w:rsid w:val="00185132"/>
    <w:rsid w:val="001A21F3"/>
    <w:rsid w:val="001A2537"/>
    <w:rsid w:val="001A6A06"/>
    <w:rsid w:val="001B1D7F"/>
    <w:rsid w:val="00210C03"/>
    <w:rsid w:val="002162E2"/>
    <w:rsid w:val="00225C5A"/>
    <w:rsid w:val="00230B10"/>
    <w:rsid w:val="00234353"/>
    <w:rsid w:val="00244BB0"/>
    <w:rsid w:val="002A0A0D"/>
    <w:rsid w:val="002A244A"/>
    <w:rsid w:val="002B0B37"/>
    <w:rsid w:val="002E4BE9"/>
    <w:rsid w:val="002F35E1"/>
    <w:rsid w:val="0030662D"/>
    <w:rsid w:val="003235A7"/>
    <w:rsid w:val="003677B6"/>
    <w:rsid w:val="0038545F"/>
    <w:rsid w:val="0039366B"/>
    <w:rsid w:val="003A595B"/>
    <w:rsid w:val="003D3579"/>
    <w:rsid w:val="003E2795"/>
    <w:rsid w:val="003F0D73"/>
    <w:rsid w:val="003F536F"/>
    <w:rsid w:val="00401CE7"/>
    <w:rsid w:val="004141D6"/>
    <w:rsid w:val="004443EC"/>
    <w:rsid w:val="00462DBE"/>
    <w:rsid w:val="00464699"/>
    <w:rsid w:val="00483379"/>
    <w:rsid w:val="00487BC5"/>
    <w:rsid w:val="00496888"/>
    <w:rsid w:val="004A7476"/>
    <w:rsid w:val="004D73D9"/>
    <w:rsid w:val="004E5896"/>
    <w:rsid w:val="004F379D"/>
    <w:rsid w:val="004F774D"/>
    <w:rsid w:val="00513EE6"/>
    <w:rsid w:val="00521718"/>
    <w:rsid w:val="00534F8F"/>
    <w:rsid w:val="00590035"/>
    <w:rsid w:val="005B177E"/>
    <w:rsid w:val="005B3921"/>
    <w:rsid w:val="005E305D"/>
    <w:rsid w:val="005F26D7"/>
    <w:rsid w:val="005F5450"/>
    <w:rsid w:val="00637330"/>
    <w:rsid w:val="006C13B0"/>
    <w:rsid w:val="006D0412"/>
    <w:rsid w:val="007411B9"/>
    <w:rsid w:val="00780D95"/>
    <w:rsid w:val="00780DC7"/>
    <w:rsid w:val="007A0D55"/>
    <w:rsid w:val="007B3377"/>
    <w:rsid w:val="007E5F44"/>
    <w:rsid w:val="00805051"/>
    <w:rsid w:val="00821DE3"/>
    <w:rsid w:val="00846CE1"/>
    <w:rsid w:val="008A4FA7"/>
    <w:rsid w:val="008A5B87"/>
    <w:rsid w:val="0090073C"/>
    <w:rsid w:val="009038C1"/>
    <w:rsid w:val="00922950"/>
    <w:rsid w:val="00961008"/>
    <w:rsid w:val="009A7264"/>
    <w:rsid w:val="009D1606"/>
    <w:rsid w:val="009E18A1"/>
    <w:rsid w:val="009E73D7"/>
    <w:rsid w:val="00A27D2C"/>
    <w:rsid w:val="00A51FBA"/>
    <w:rsid w:val="00A5497C"/>
    <w:rsid w:val="00A55E8B"/>
    <w:rsid w:val="00A76FD9"/>
    <w:rsid w:val="00AB436D"/>
    <w:rsid w:val="00AC1B6F"/>
    <w:rsid w:val="00AD2F24"/>
    <w:rsid w:val="00AD4844"/>
    <w:rsid w:val="00B219AE"/>
    <w:rsid w:val="00B33145"/>
    <w:rsid w:val="00B574C9"/>
    <w:rsid w:val="00B95EA3"/>
    <w:rsid w:val="00BC39C9"/>
    <w:rsid w:val="00BE0414"/>
    <w:rsid w:val="00BE5BF7"/>
    <w:rsid w:val="00BF40E1"/>
    <w:rsid w:val="00C27FAB"/>
    <w:rsid w:val="00C358D4"/>
    <w:rsid w:val="00C6296B"/>
    <w:rsid w:val="00C93300"/>
    <w:rsid w:val="00CC586D"/>
    <w:rsid w:val="00CF1542"/>
    <w:rsid w:val="00CF3EC5"/>
    <w:rsid w:val="00D042F6"/>
    <w:rsid w:val="00D656DA"/>
    <w:rsid w:val="00D83300"/>
    <w:rsid w:val="00DC6B48"/>
    <w:rsid w:val="00DF01B0"/>
    <w:rsid w:val="00E6145E"/>
    <w:rsid w:val="00E85A05"/>
    <w:rsid w:val="00E95829"/>
    <w:rsid w:val="00E96119"/>
    <w:rsid w:val="00EA606C"/>
    <w:rsid w:val="00EB0C8C"/>
    <w:rsid w:val="00EB51FD"/>
    <w:rsid w:val="00EB77DB"/>
    <w:rsid w:val="00ED139F"/>
    <w:rsid w:val="00ED579C"/>
    <w:rsid w:val="00EF74F7"/>
    <w:rsid w:val="00EF7947"/>
    <w:rsid w:val="00F36937"/>
    <w:rsid w:val="00F60F53"/>
    <w:rsid w:val="00F668DE"/>
    <w:rsid w:val="00F67E9B"/>
    <w:rsid w:val="00FA1925"/>
    <w:rsid w:val="00FA7F81"/>
    <w:rsid w:val="00FB11DE"/>
    <w:rsid w:val="00FB589A"/>
    <w:rsid w:val="00FB7317"/>
    <w:rsid w:val="00FC2866"/>
    <w:rsid w:val="00FF0C4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4FD68"/>
  <w15:docId w15:val="{60BC4A44-0280-4451-A14B-EEAD1038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 w:type="character" w:styleId="Hyperlink">
    <w:name w:val="Hyperlink"/>
    <w:basedOn w:val="DefaultParagraphFont"/>
    <w:uiPriority w:val="99"/>
    <w:unhideWhenUsed/>
    <w:rsid w:val="00401CE7"/>
    <w:rPr>
      <w:color w:val="0563C1" w:themeColor="hyperlink"/>
      <w:u w:val="single"/>
    </w:rPr>
  </w:style>
  <w:style w:type="paragraph" w:styleId="Caption">
    <w:name w:val="caption"/>
    <w:basedOn w:val="Normal"/>
    <w:next w:val="Normal"/>
    <w:uiPriority w:val="35"/>
    <w:unhideWhenUsed/>
    <w:qFormat/>
    <w:rsid w:val="002A24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505AB9"/>
    <w:rsid w:val="006A5452"/>
    <w:rsid w:val="00A073D8"/>
    <w:rsid w:val="00B53F2C"/>
    <w:rsid w:val="00C236D0"/>
    <w:rsid w:val="00D26A53"/>
    <w:rsid w:val="00EE16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9766659E-7D39-9E4E-A04F-EFEB3735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C:\Users\christian junge\AppData\Local\Microsoft\Windows\Temporary Internet Files\Content.Outlook\205WB15R\Routledge Enyclopedia of Modernism Word Template (3).dotx</Template>
  <TotalTime>8</TotalTime>
  <Pages>4</Pages>
  <Words>1854</Words>
  <Characters>10569</Characters>
  <Application>Microsoft Macintosh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Amy Tang</cp:lastModifiedBy>
  <cp:revision>12</cp:revision>
  <dcterms:created xsi:type="dcterms:W3CDTF">2016-02-03T09:46:00Z</dcterms:created>
  <dcterms:modified xsi:type="dcterms:W3CDTF">2016-07-13T04:56:00Z</dcterms:modified>
</cp:coreProperties>
</file>