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DC513C" w14:textId="77777777" w:rsidTr="00922950">
        <w:tc>
          <w:tcPr>
            <w:tcW w:w="491" w:type="dxa"/>
            <w:vMerge w:val="restart"/>
            <w:shd w:val="clear" w:color="auto" w:fill="A6A6A6" w:themeFill="background1" w:themeFillShade="A6"/>
            <w:textDirection w:val="btLr"/>
          </w:tcPr>
          <w:p w14:paraId="58C064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B491038656D0488E757016D1F7369B"/>
            </w:placeholder>
            <w:showingPlcHdr/>
            <w:dropDownList>
              <w:listItem w:displayText="Dr." w:value="Dr."/>
              <w:listItem w:displayText="Prof." w:value="Prof."/>
            </w:dropDownList>
          </w:sdtPr>
          <w:sdtEndPr/>
          <w:sdtContent>
            <w:tc>
              <w:tcPr>
                <w:tcW w:w="1259" w:type="dxa"/>
              </w:tcPr>
              <w:p w14:paraId="67CFE9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9FF1554C54F94A8A2F112FF14A852C"/>
            </w:placeholder>
            <w:text/>
          </w:sdtPr>
          <w:sdtEndPr/>
          <w:sdtContent>
            <w:tc>
              <w:tcPr>
                <w:tcW w:w="2073" w:type="dxa"/>
              </w:tcPr>
              <w:p w14:paraId="2E3A63E5" w14:textId="77777777" w:rsidR="00B574C9" w:rsidRDefault="009A2F4B" w:rsidP="009A2F4B">
                <w:r>
                  <w:t>Claire</w:t>
                </w:r>
              </w:p>
            </w:tc>
          </w:sdtContent>
        </w:sdt>
        <w:sdt>
          <w:sdtPr>
            <w:alias w:val="Middle name"/>
            <w:tag w:val="authorMiddleName"/>
            <w:id w:val="-2076034781"/>
            <w:placeholder>
              <w:docPart w:val="23DC74886F4646418FFE8A89238807D4"/>
            </w:placeholder>
            <w:showingPlcHdr/>
            <w:text/>
          </w:sdtPr>
          <w:sdtEndPr/>
          <w:sdtContent>
            <w:tc>
              <w:tcPr>
                <w:tcW w:w="2551" w:type="dxa"/>
              </w:tcPr>
              <w:p w14:paraId="1117209C" w14:textId="77777777" w:rsidR="00B574C9" w:rsidRDefault="00B574C9" w:rsidP="00922950">
                <w:r>
                  <w:rPr>
                    <w:rStyle w:val="PlaceholderText"/>
                  </w:rPr>
                  <w:t>[Middle name]</w:t>
                </w:r>
              </w:p>
            </w:tc>
          </w:sdtContent>
        </w:sdt>
        <w:sdt>
          <w:sdtPr>
            <w:alias w:val="Last name"/>
            <w:tag w:val="authorLastName"/>
            <w:id w:val="-1088529830"/>
            <w:placeholder>
              <w:docPart w:val="6CAB11D474E02140B4DC1DDB64165B51"/>
            </w:placeholder>
            <w:text/>
          </w:sdtPr>
          <w:sdtEndPr/>
          <w:sdtContent>
            <w:tc>
              <w:tcPr>
                <w:tcW w:w="2642" w:type="dxa"/>
              </w:tcPr>
              <w:p w14:paraId="3F4AC109" w14:textId="77777777" w:rsidR="00B574C9" w:rsidRDefault="009A2F4B" w:rsidP="009A2F4B">
                <w:r>
                  <w:t>Barber</w:t>
                </w:r>
              </w:p>
            </w:tc>
          </w:sdtContent>
        </w:sdt>
      </w:tr>
      <w:tr w:rsidR="00B574C9" w14:paraId="769D5F2F" w14:textId="77777777" w:rsidTr="001A6A06">
        <w:trPr>
          <w:trHeight w:val="986"/>
        </w:trPr>
        <w:tc>
          <w:tcPr>
            <w:tcW w:w="491" w:type="dxa"/>
            <w:vMerge/>
            <w:shd w:val="clear" w:color="auto" w:fill="A6A6A6" w:themeFill="background1" w:themeFillShade="A6"/>
          </w:tcPr>
          <w:p w14:paraId="6C2531E7" w14:textId="77777777" w:rsidR="00B574C9" w:rsidRPr="001A6A06" w:rsidRDefault="00B574C9" w:rsidP="00CF1542">
            <w:pPr>
              <w:jc w:val="center"/>
              <w:rPr>
                <w:b/>
                <w:color w:val="FFFFFF" w:themeColor="background1"/>
              </w:rPr>
            </w:pPr>
          </w:p>
        </w:tc>
        <w:sdt>
          <w:sdtPr>
            <w:alias w:val="Biography"/>
            <w:tag w:val="authorBiography"/>
            <w:id w:val="938807824"/>
            <w:placeholder>
              <w:docPart w:val="24244F8088C52D4B83C804F058B22EB0"/>
            </w:placeholder>
            <w:showingPlcHdr/>
          </w:sdtPr>
          <w:sdtEndPr/>
          <w:sdtContent>
            <w:tc>
              <w:tcPr>
                <w:tcW w:w="8525" w:type="dxa"/>
                <w:gridSpan w:val="4"/>
              </w:tcPr>
              <w:p w14:paraId="69F85337" w14:textId="77777777" w:rsidR="00B574C9" w:rsidRDefault="00B574C9" w:rsidP="00922950">
                <w:r>
                  <w:rPr>
                    <w:rStyle w:val="PlaceholderText"/>
                  </w:rPr>
                  <w:t>[Enter your biography]</w:t>
                </w:r>
              </w:p>
            </w:tc>
          </w:sdtContent>
        </w:sdt>
      </w:tr>
      <w:tr w:rsidR="00B574C9" w14:paraId="30369D0A" w14:textId="77777777" w:rsidTr="001A6A06">
        <w:trPr>
          <w:trHeight w:val="986"/>
        </w:trPr>
        <w:tc>
          <w:tcPr>
            <w:tcW w:w="491" w:type="dxa"/>
            <w:vMerge/>
            <w:shd w:val="clear" w:color="auto" w:fill="A6A6A6" w:themeFill="background1" w:themeFillShade="A6"/>
          </w:tcPr>
          <w:p w14:paraId="0E599818" w14:textId="77777777" w:rsidR="00B574C9" w:rsidRPr="001A6A06" w:rsidRDefault="00B574C9" w:rsidP="00CF1542">
            <w:pPr>
              <w:jc w:val="center"/>
              <w:rPr>
                <w:b/>
                <w:color w:val="FFFFFF" w:themeColor="background1"/>
              </w:rPr>
            </w:pPr>
          </w:p>
        </w:tc>
        <w:sdt>
          <w:sdtPr>
            <w:alias w:val="Affiliation"/>
            <w:tag w:val="affiliation"/>
            <w:id w:val="2012937915"/>
            <w:placeholder>
              <w:docPart w:val="55ACB4CED5F28346A65AB49BD2DFB748"/>
            </w:placeholder>
            <w:text/>
          </w:sdtPr>
          <w:sdtEndPr/>
          <w:sdtContent>
            <w:tc>
              <w:tcPr>
                <w:tcW w:w="8525" w:type="dxa"/>
                <w:gridSpan w:val="4"/>
              </w:tcPr>
              <w:p w14:paraId="1E2C9AAD" w14:textId="77777777" w:rsidR="00B574C9" w:rsidRDefault="009A2F4B" w:rsidP="009A2F4B">
                <w:r>
                  <w:t>University of Illinois, Urbana-Champaign</w:t>
                </w:r>
              </w:p>
            </w:tc>
          </w:sdtContent>
        </w:sdt>
      </w:tr>
    </w:tbl>
    <w:p w14:paraId="3A3359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98BC38" w14:textId="77777777" w:rsidTr="00244BB0">
        <w:tc>
          <w:tcPr>
            <w:tcW w:w="9016" w:type="dxa"/>
            <w:shd w:val="clear" w:color="auto" w:fill="A6A6A6" w:themeFill="background1" w:themeFillShade="A6"/>
            <w:tcMar>
              <w:top w:w="113" w:type="dxa"/>
              <w:bottom w:w="113" w:type="dxa"/>
            </w:tcMar>
          </w:tcPr>
          <w:p w14:paraId="5EF6DD6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DFBF78" w14:textId="77777777" w:rsidTr="003F0D73">
        <w:sdt>
          <w:sdtPr>
            <w:alias w:val="Article headword"/>
            <w:tag w:val="articleHeadword"/>
            <w:id w:val="-361440020"/>
            <w:placeholder>
              <w:docPart w:val="50872281C3A33C4EB8B8D26CE314BFC3"/>
            </w:placeholder>
            <w:text/>
          </w:sdtPr>
          <w:sdtContent>
            <w:tc>
              <w:tcPr>
                <w:tcW w:w="9016" w:type="dxa"/>
                <w:tcMar>
                  <w:top w:w="113" w:type="dxa"/>
                  <w:bottom w:w="113" w:type="dxa"/>
                </w:tcMar>
              </w:tcPr>
              <w:p w14:paraId="61797739" w14:textId="77777777" w:rsidR="003F0D73" w:rsidRPr="00FB589A" w:rsidRDefault="009A2F4B" w:rsidP="003F0D73">
                <w:pPr>
                  <w:rPr>
                    <w:b/>
                  </w:rPr>
                </w:pPr>
                <w:r w:rsidRPr="009A2F4B">
                  <w:rPr>
                    <w:rFonts w:eastAsiaTheme="minorEastAsia"/>
                    <w:lang w:val="en-US"/>
                  </w:rPr>
                  <w:t>Sitwell, Edith (1887–1964)</w:t>
                </w:r>
              </w:p>
            </w:tc>
          </w:sdtContent>
        </w:sdt>
      </w:tr>
      <w:tr w:rsidR="00464699" w14:paraId="07D36339" w14:textId="77777777" w:rsidTr="007821B0">
        <w:sdt>
          <w:sdtPr>
            <w:alias w:val="Variant headwords"/>
            <w:tag w:val="variantHeadwords"/>
            <w:id w:val="173464402"/>
            <w:placeholder>
              <w:docPart w:val="C1BCDC7B14F2D344B34988C87313AECF"/>
            </w:placeholder>
            <w:showingPlcHdr/>
          </w:sdtPr>
          <w:sdtEndPr/>
          <w:sdtContent>
            <w:tc>
              <w:tcPr>
                <w:tcW w:w="9016" w:type="dxa"/>
                <w:tcMar>
                  <w:top w:w="113" w:type="dxa"/>
                  <w:bottom w:w="113" w:type="dxa"/>
                </w:tcMar>
              </w:tcPr>
              <w:p w14:paraId="21C1187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8F1EB7" w14:textId="77777777" w:rsidTr="003F0D73">
        <w:sdt>
          <w:sdtPr>
            <w:alias w:val="Abstract"/>
            <w:tag w:val="abstract"/>
            <w:id w:val="-635871867"/>
            <w:placeholder>
              <w:docPart w:val="5F2A70EE4EBE584BB56F019112969134"/>
            </w:placeholder>
          </w:sdtPr>
          <w:sdtEndPr/>
          <w:sdtContent>
            <w:tc>
              <w:tcPr>
                <w:tcW w:w="9016" w:type="dxa"/>
                <w:tcMar>
                  <w:top w:w="113" w:type="dxa"/>
                  <w:bottom w:w="113" w:type="dxa"/>
                </w:tcMar>
              </w:tcPr>
              <w:p w14:paraId="53922FB6" w14:textId="77777777" w:rsidR="009A2F4B" w:rsidRDefault="009A2F4B" w:rsidP="009A2F4B">
                <w:r>
                  <w:t xml:space="preserve">Dame Edith Sitwell was an experimental poet known for her eccentric </w:t>
                </w:r>
                <w:proofErr w:type="spellStart"/>
                <w:r>
                  <w:t>behavior</w:t>
                </w:r>
                <w:proofErr w:type="spellEnd"/>
                <w:r>
                  <w:t xml:space="preserve"> and aesthetics. A </w:t>
                </w:r>
                <w:proofErr w:type="spellStart"/>
                <w:r>
                  <w:t>skillfully</w:t>
                </w:r>
                <w:proofErr w:type="spellEnd"/>
                <w:r>
                  <w:t xml:space="preserve"> controlled reading voice, along with dramatic clothes and </w:t>
                </w:r>
                <w:proofErr w:type="spellStart"/>
                <w:r>
                  <w:t>jewelry</w:t>
                </w:r>
                <w:proofErr w:type="spellEnd"/>
                <w:r>
                  <w:t xml:space="preserve">, led to her widespread recognition as an exceptional performer. Though she has received little attention within modernist studies, she significantly influenced the development of twentieth-century art with literary productions like </w:t>
                </w:r>
                <w:r>
                  <w:rPr>
                    <w:i/>
                  </w:rPr>
                  <w:t xml:space="preserve">Façade </w:t>
                </w:r>
                <w:r>
                  <w:t xml:space="preserve">(1922) and her patronage of other artists, including DYLAN THOMAS. Her brothers OSBERT and SACHEVERELL SITWELL were two of her closest companions and collaborators. With them, she </w:t>
                </w:r>
                <w:proofErr w:type="spellStart"/>
                <w:r>
                  <w:t>endeavored</w:t>
                </w:r>
                <w:proofErr w:type="spellEnd"/>
                <w:r>
                  <w:t xml:space="preserve"> to build an avant-garde artistic society </w:t>
                </w:r>
                <w:proofErr w:type="spellStart"/>
                <w:r>
                  <w:t>rivaling</w:t>
                </w:r>
                <w:proofErr w:type="spellEnd"/>
                <w:r>
                  <w:t xml:space="preserve"> the BLOOMSBURY GROUP.</w:t>
                </w:r>
              </w:p>
              <w:p w14:paraId="2A3D4730" w14:textId="77777777" w:rsidR="009A2F4B" w:rsidRDefault="009A2F4B" w:rsidP="009A2F4B"/>
              <w:p w14:paraId="0BE0CFC3" w14:textId="77777777" w:rsidR="00E85A05" w:rsidRDefault="009A2F4B" w:rsidP="00E85A05">
                <w:r>
                  <w:t xml:space="preserve">Born into the British aristocracy, Sitwell had a strained relationship with her parents, </w:t>
                </w:r>
                <w:r w:rsidRPr="00E47185">
                  <w:t xml:space="preserve">Sir George </w:t>
                </w:r>
                <w:r>
                  <w:t xml:space="preserve">and </w:t>
                </w:r>
                <w:r w:rsidRPr="00E47185">
                  <w:t xml:space="preserve">Lady Ida </w:t>
                </w:r>
                <w:r>
                  <w:t>Sitwell</w:t>
                </w:r>
                <w:r w:rsidRPr="00E47185">
                  <w:t xml:space="preserve">, daughter of </w:t>
                </w:r>
                <w:r>
                  <w:t>the Earl of</w:t>
                </w:r>
                <w:r w:rsidRPr="00E47185">
                  <w:t xml:space="preserve"> </w:t>
                </w:r>
                <w:proofErr w:type="spellStart"/>
                <w:r w:rsidRPr="00E47185">
                  <w:t>Londesborough</w:t>
                </w:r>
                <w:proofErr w:type="spellEnd"/>
                <w:r>
                  <w:t xml:space="preserve">. A tall girl with an </w:t>
                </w:r>
                <w:r w:rsidRPr="006A29BC">
                  <w:t>aquiline</w:t>
                </w:r>
                <w:r>
                  <w:t xml:space="preserve"> nose and hooded eyes, Sitwell did not conform to their idea of beauty, so her parents forced her to wear metal appliances to correct her spine and nose—an experience described in her autobiography, </w:t>
                </w:r>
                <w:r w:rsidRPr="00250A36">
                  <w:rPr>
                    <w:i/>
                  </w:rPr>
                  <w:t xml:space="preserve">Taken Care Of </w:t>
                </w:r>
                <w:r>
                  <w:t xml:space="preserve">(1965). Lady Sitwell’s trial for fraud exacerbated this dysfunctional family dynamic during the same year in which Edith published her first literary work, </w:t>
                </w:r>
                <w:r w:rsidRPr="009859F1">
                  <w:rPr>
                    <w:i/>
                  </w:rPr>
                  <w:t>The Mother and Other Poems</w:t>
                </w:r>
                <w:r>
                  <w:rPr>
                    <w:i/>
                  </w:rPr>
                  <w:t xml:space="preserve"> </w:t>
                </w:r>
                <w:r>
                  <w:t xml:space="preserve">(1915). However, she had already moved to London in 1914 with former governess Helen </w:t>
                </w:r>
                <w:proofErr w:type="spellStart"/>
                <w:r>
                  <w:t>Rootham</w:t>
                </w:r>
                <w:proofErr w:type="spellEnd"/>
                <w:r>
                  <w:t xml:space="preserve">, where she established a literary salon in austere rooms at </w:t>
                </w:r>
                <w:proofErr w:type="spellStart"/>
                <w:r>
                  <w:t>Pembridge</w:t>
                </w:r>
                <w:proofErr w:type="spellEnd"/>
                <w:r>
                  <w:t xml:space="preserve"> Mansions.  </w:t>
                </w:r>
              </w:p>
            </w:tc>
          </w:sdtContent>
        </w:sdt>
      </w:tr>
      <w:tr w:rsidR="003F0D73" w14:paraId="40CB1E93" w14:textId="77777777" w:rsidTr="003F0D73">
        <w:sdt>
          <w:sdtPr>
            <w:alias w:val="Article text"/>
            <w:tag w:val="articleText"/>
            <w:id w:val="634067588"/>
            <w:placeholder>
              <w:docPart w:val="C659BC8A4C677548A0455FF239F8F307"/>
            </w:placeholder>
          </w:sdtPr>
          <w:sdtEndPr/>
          <w:sdtContent>
            <w:tc>
              <w:tcPr>
                <w:tcW w:w="9016" w:type="dxa"/>
                <w:tcMar>
                  <w:top w:w="113" w:type="dxa"/>
                  <w:bottom w:w="113" w:type="dxa"/>
                </w:tcMar>
              </w:tcPr>
              <w:p w14:paraId="6F9A3921" w14:textId="77777777" w:rsidR="009A2F4B" w:rsidRDefault="009A2F4B" w:rsidP="009A2F4B">
                <w:r>
                  <w:t xml:space="preserve">Dame Edith Sitwell was an experimental poet known for her eccentric </w:t>
                </w:r>
                <w:proofErr w:type="spellStart"/>
                <w:r>
                  <w:t>behavior</w:t>
                </w:r>
                <w:proofErr w:type="spellEnd"/>
                <w:r>
                  <w:t xml:space="preserve"> and aesthetics. A </w:t>
                </w:r>
                <w:proofErr w:type="spellStart"/>
                <w:r>
                  <w:t>skillfully</w:t>
                </w:r>
                <w:proofErr w:type="spellEnd"/>
                <w:r>
                  <w:t xml:space="preserve"> controlled reading voice, along with dramatic clothes and </w:t>
                </w:r>
                <w:proofErr w:type="spellStart"/>
                <w:r>
                  <w:t>jewelry</w:t>
                </w:r>
                <w:proofErr w:type="spellEnd"/>
                <w:r>
                  <w:t xml:space="preserve">, led to her widespread recognition as an exceptional performer. Though she has received little attention within modernist studies, she significantly influenced the development of twentieth-century art with literary productions like </w:t>
                </w:r>
                <w:r>
                  <w:rPr>
                    <w:i/>
                  </w:rPr>
                  <w:t xml:space="preserve">Façade </w:t>
                </w:r>
                <w:r>
                  <w:t xml:space="preserve">(1922) and her patronage of other artists, including DYLAN THOMAS. Her brothers OSBERT and SACHEVERELL SITWELL were two of her closest companions and collaborators. With them, she </w:t>
                </w:r>
                <w:proofErr w:type="spellStart"/>
                <w:r>
                  <w:t>endeavored</w:t>
                </w:r>
                <w:proofErr w:type="spellEnd"/>
                <w:r>
                  <w:t xml:space="preserve"> to build an avant-garde artistic society </w:t>
                </w:r>
                <w:proofErr w:type="spellStart"/>
                <w:r>
                  <w:t>rivaling</w:t>
                </w:r>
                <w:proofErr w:type="spellEnd"/>
                <w:r>
                  <w:t xml:space="preserve"> the BLOOMSBURY GROUP.</w:t>
                </w:r>
              </w:p>
              <w:p w14:paraId="0A8EA15A" w14:textId="77777777" w:rsidR="009A2F4B" w:rsidRDefault="009A2F4B" w:rsidP="009A2F4B"/>
              <w:p w14:paraId="1CD09EA3" w14:textId="77777777" w:rsidR="009A2F4B" w:rsidRDefault="009A2F4B" w:rsidP="009A2F4B">
                <w:r>
                  <w:t>File: SitwellByWyndhamLewis.jpg</w:t>
                </w:r>
              </w:p>
              <w:p w14:paraId="0A629BC0" w14:textId="77777777" w:rsidR="009A2F4B" w:rsidRPr="00F36937" w:rsidRDefault="009A2F4B" w:rsidP="009A2F4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Portrait of Edith Sitwell by Wyndham Lewis, 1923-35, Oil paint on canvas.</w:t>
                </w:r>
              </w:p>
              <w:p w14:paraId="03FDC1A3" w14:textId="77777777" w:rsidR="009A2F4B" w:rsidRDefault="009A2F4B" w:rsidP="009A2F4B">
                <w:r>
                  <w:t xml:space="preserve">Source: </w:t>
                </w:r>
                <w:r w:rsidRPr="009A2F4B">
                  <w:t>http://www.tate.org.uk/art/artworks/lewis-edith-sitwell-n05437</w:t>
                </w:r>
                <w:bookmarkStart w:id="0" w:name="_GoBack"/>
                <w:bookmarkEnd w:id="0"/>
              </w:p>
              <w:p w14:paraId="38FA3620" w14:textId="77777777" w:rsidR="009A2F4B" w:rsidRDefault="009A2F4B" w:rsidP="009A2F4B"/>
              <w:p w14:paraId="71FB2E08" w14:textId="77777777" w:rsidR="009A2F4B" w:rsidRDefault="009A2F4B" w:rsidP="009A2F4B">
                <w:r>
                  <w:t xml:space="preserve">Born into the British aristocracy, Sitwell had a strained relationship with her parents, </w:t>
                </w:r>
                <w:r w:rsidRPr="00E47185">
                  <w:t xml:space="preserve">Sir George </w:t>
                </w:r>
                <w:r>
                  <w:t xml:space="preserve">and </w:t>
                </w:r>
                <w:r w:rsidRPr="00E47185">
                  <w:t xml:space="preserve">Lady Ida </w:t>
                </w:r>
                <w:r>
                  <w:t>Sitwell</w:t>
                </w:r>
                <w:r w:rsidRPr="00E47185">
                  <w:t xml:space="preserve">, daughter of </w:t>
                </w:r>
                <w:r>
                  <w:t>the Earl of</w:t>
                </w:r>
                <w:r w:rsidRPr="00E47185">
                  <w:t xml:space="preserve"> </w:t>
                </w:r>
                <w:proofErr w:type="spellStart"/>
                <w:r w:rsidRPr="00E47185">
                  <w:t>Londesborough</w:t>
                </w:r>
                <w:proofErr w:type="spellEnd"/>
                <w:r>
                  <w:t xml:space="preserve">. A tall girl with an </w:t>
                </w:r>
                <w:r w:rsidRPr="006A29BC">
                  <w:t>aquiline</w:t>
                </w:r>
                <w:r>
                  <w:t xml:space="preserve"> nose and hooded eyes, Sitwell did not conform to their idea of beauty, so her parents forced her to wear </w:t>
                </w:r>
                <w:r>
                  <w:lastRenderedPageBreak/>
                  <w:t xml:space="preserve">metal appliances to correct her spine and nose—an experience described in her autobiography, </w:t>
                </w:r>
                <w:r w:rsidRPr="00250A36">
                  <w:rPr>
                    <w:i/>
                  </w:rPr>
                  <w:t xml:space="preserve">Taken Care Of </w:t>
                </w:r>
                <w:r>
                  <w:t xml:space="preserve">(1965). Lady Sitwell’s trial for fraud exacerbated this dysfunctional family dynamic during the same year in which Edith published her first literary work, </w:t>
                </w:r>
                <w:r w:rsidRPr="009859F1">
                  <w:rPr>
                    <w:i/>
                  </w:rPr>
                  <w:t>The Mother and Other Poems</w:t>
                </w:r>
                <w:r>
                  <w:rPr>
                    <w:i/>
                  </w:rPr>
                  <w:t xml:space="preserve"> </w:t>
                </w:r>
                <w:r>
                  <w:t xml:space="preserve">(1915). However, she had already moved to London in 1914 with former governess Helen </w:t>
                </w:r>
                <w:proofErr w:type="spellStart"/>
                <w:r>
                  <w:t>Rootham</w:t>
                </w:r>
                <w:proofErr w:type="spellEnd"/>
                <w:r>
                  <w:t xml:space="preserve">, where she established a literary salon in austere rooms at </w:t>
                </w:r>
                <w:proofErr w:type="spellStart"/>
                <w:r>
                  <w:t>Pembridge</w:t>
                </w:r>
                <w:proofErr w:type="spellEnd"/>
                <w:r>
                  <w:t xml:space="preserve"> Mansions.  </w:t>
                </w:r>
              </w:p>
              <w:p w14:paraId="4C21E2E4" w14:textId="77777777" w:rsidR="009A2F4B" w:rsidRDefault="009A2F4B" w:rsidP="009A2F4B"/>
              <w:p w14:paraId="4B0A1394" w14:textId="77777777" w:rsidR="009A2F4B" w:rsidRPr="00CB05E7" w:rsidRDefault="009A2F4B" w:rsidP="009A2F4B">
                <w:pPr>
                  <w:rPr>
                    <w:bCs/>
                  </w:rPr>
                </w:pPr>
                <w:r>
                  <w:t xml:space="preserve">Sitwell’s distinctly anti-establishment and anti-war attitude distinguished her from many poets of the period, like WALTER DE LA MARE. In response to EDWARD MARSH’s </w:t>
                </w:r>
                <w:r>
                  <w:rPr>
                    <w:i/>
                  </w:rPr>
                  <w:t>Georgian Poetry</w:t>
                </w:r>
                <w:r>
                  <w:t xml:space="preserve">, Sitwell edited the little-discussed series </w:t>
                </w:r>
                <w:r w:rsidRPr="00B01FF2">
                  <w:rPr>
                    <w:i/>
                  </w:rPr>
                  <w:t>Wheels</w:t>
                </w:r>
                <w:r>
                  <w:t xml:space="preserve"> (1916-1921), which included poems by NANCY CUNARD, ALDOUS HUXLEY, and WILFRED OWEN, among others. Sitwell went on to became a prominent member of the avant-garde movement with</w:t>
                </w:r>
                <w:r w:rsidRPr="00832F0B">
                  <w:t xml:space="preserve"> </w:t>
                </w:r>
                <w:r>
                  <w:t>the performance of her most influential text,</w:t>
                </w:r>
                <w:r>
                  <w:rPr>
                    <w:i/>
                  </w:rPr>
                  <w:t xml:space="preserve"> FAÇADE </w:t>
                </w:r>
                <w:r>
                  <w:t>(1922)</w:t>
                </w:r>
                <w:r>
                  <w:rPr>
                    <w:i/>
                  </w:rPr>
                  <w:t>,</w:t>
                </w:r>
                <w:r w:rsidRPr="005F5201">
                  <w:t xml:space="preserve"> </w:t>
                </w:r>
                <w:r>
                  <w:t xml:space="preserve">written with composer WILLIAM WALTON. This collection was read with Walton’s music by a person standing behind a curtain and speaking through </w:t>
                </w:r>
                <w:r w:rsidRPr="00176669">
                  <w:t xml:space="preserve">a </w:t>
                </w:r>
                <w:proofErr w:type="spellStart"/>
                <w:r w:rsidRPr="00176669">
                  <w:t>Sengerphone</w:t>
                </w:r>
                <w:proofErr w:type="spellEnd"/>
                <w:r>
                  <w:t xml:space="preserve">—a megaphone covering both the nose and mouth—whose opening aligned with a hole cut in the curtain. In such dramatic works, Sitwell experimented with the textures of sound </w:t>
                </w:r>
                <w:r>
                  <w:rPr>
                    <w:bCs/>
                  </w:rPr>
                  <w:t>“</w:t>
                </w:r>
                <w:r w:rsidRPr="00161ACF">
                  <w:rPr>
                    <w:bCs/>
                  </w:rPr>
                  <w:t>to find rhythmical expression for the heightened speed of our time</w:t>
                </w:r>
                <w:r>
                  <w:rPr>
                    <w:bCs/>
                  </w:rPr>
                  <w:t xml:space="preserve">,” according to her introduction </w:t>
                </w:r>
                <w:r>
                  <w:t xml:space="preserve">to the second edition of her </w:t>
                </w:r>
                <w:r>
                  <w:rPr>
                    <w:i/>
                  </w:rPr>
                  <w:t>Collected Poems</w:t>
                </w:r>
                <w:r w:rsidRPr="00161ACF">
                  <w:t>.</w:t>
                </w:r>
              </w:p>
              <w:p w14:paraId="5C9DEAEF" w14:textId="77777777" w:rsidR="009A2F4B" w:rsidRDefault="009A2F4B" w:rsidP="009A2F4B"/>
              <w:p w14:paraId="314AA852" w14:textId="77777777" w:rsidR="009A2F4B" w:rsidRDefault="009A2F4B" w:rsidP="009A2F4B">
                <w:r w:rsidRPr="00A77F00">
                  <w:rPr>
                    <w:i/>
                  </w:rPr>
                  <w:t xml:space="preserve">Façade </w:t>
                </w:r>
                <w:r>
                  <w:t xml:space="preserve">made Sitwell and her brothers infamous, particularly after NOËL COWARD parodied them in </w:t>
                </w:r>
                <w:r w:rsidRPr="00A77F00">
                  <w:rPr>
                    <w:i/>
                  </w:rPr>
                  <w:t xml:space="preserve">London Calling! </w:t>
                </w:r>
                <w:r>
                  <w:t xml:space="preserve">(1923). She responded with a series of more orthodox works but later received recognition from such figures as W.B. YEATS for innovation in </w:t>
                </w:r>
                <w:r w:rsidRPr="00A77F00">
                  <w:rPr>
                    <w:i/>
                    <w:iCs/>
                  </w:rPr>
                  <w:t>Gold Coast Customs</w:t>
                </w:r>
                <w:r w:rsidRPr="00AF2F96">
                  <w:t xml:space="preserve"> (1929)</w:t>
                </w:r>
                <w:r>
                  <w:t xml:space="preserve">. Like </w:t>
                </w:r>
                <w:r w:rsidRPr="00A77F00">
                  <w:rPr>
                    <w:i/>
                  </w:rPr>
                  <w:t>Façade</w:t>
                </w:r>
                <w:r>
                  <w:t xml:space="preserve">, this collection foregrounds rhythm but more overtly attends to politics. The later </w:t>
                </w:r>
                <w:r w:rsidRPr="00A77F00">
                  <w:rPr>
                    <w:i/>
                    <w:iCs/>
                  </w:rPr>
                  <w:t xml:space="preserve">Street Songs </w:t>
                </w:r>
                <w:r w:rsidRPr="00A77F00">
                  <w:rPr>
                    <w:iCs/>
                  </w:rPr>
                  <w:t>(1942)</w:t>
                </w:r>
                <w:r>
                  <w:t xml:space="preserve"> takes her political commitment even further with poems like “Still Falls the Rain,” which Sitwell is </w:t>
                </w:r>
                <w:proofErr w:type="spellStart"/>
                <w:r>
                  <w:t>rumored</w:t>
                </w:r>
                <w:proofErr w:type="spellEnd"/>
                <w:r>
                  <w:t xml:space="preserve"> to have read publicly during a 1944 air raid. However, these poems also manifest Sitwell’s growing interest in religion, which culminated in her conversion to Catholicism in 1955. (EVELYN WAUGH and ROY CAMPBELL served as godparents.) </w:t>
                </w:r>
              </w:p>
              <w:p w14:paraId="18280EEF" w14:textId="77777777" w:rsidR="009A2F4B" w:rsidRDefault="009A2F4B" w:rsidP="009A2F4B"/>
              <w:p w14:paraId="53D1A2B1" w14:textId="77777777" w:rsidR="009A2F4B" w:rsidRDefault="009A2F4B" w:rsidP="009A2F4B">
                <w:r>
                  <w:t xml:space="preserve">To gain international support for her work and supplement her </w:t>
                </w:r>
                <w:proofErr w:type="spellStart"/>
                <w:r>
                  <w:t>meager</w:t>
                </w:r>
                <w:proofErr w:type="spellEnd"/>
                <w:r>
                  <w:t xml:space="preserve"> income, Sitwell conducted U.S. lecture tours in 1948, 1950, and 1957. She eventually achieved popular success writing biographies, such as</w:t>
                </w:r>
                <w:r>
                  <w:rPr>
                    <w:iCs/>
                  </w:rPr>
                  <w:t xml:space="preserve"> </w:t>
                </w:r>
                <w:r w:rsidRPr="00555D7A">
                  <w:rPr>
                    <w:i/>
                    <w:iCs/>
                  </w:rPr>
                  <w:t xml:space="preserve">Victoria of England </w:t>
                </w:r>
                <w:r w:rsidRPr="00F12D06">
                  <w:t>(1936)</w:t>
                </w:r>
                <w:r>
                  <w:t xml:space="preserve">, </w:t>
                </w:r>
                <w:r w:rsidRPr="00555D7A">
                  <w:rPr>
                    <w:i/>
                    <w:iCs/>
                  </w:rPr>
                  <w:t>Fanfare for Elizabeth</w:t>
                </w:r>
                <w:r>
                  <w:t xml:space="preserve"> (1946),</w:t>
                </w:r>
                <w:r w:rsidRPr="00F12D06">
                  <w:t xml:space="preserve"> and </w:t>
                </w:r>
                <w:r w:rsidRPr="00555D7A">
                  <w:rPr>
                    <w:i/>
                    <w:iCs/>
                  </w:rPr>
                  <w:t>The Queens and the Hive</w:t>
                </w:r>
                <w:r>
                  <w:t xml:space="preserve"> (1962), which helped her to achieve financial security. </w:t>
                </w:r>
              </w:p>
              <w:p w14:paraId="2C5B3F29" w14:textId="77777777" w:rsidR="009A2F4B" w:rsidRDefault="009A2F4B" w:rsidP="009A2F4B">
                <w:r>
                  <w:t xml:space="preserve">     </w:t>
                </w:r>
              </w:p>
              <w:p w14:paraId="4392E016" w14:textId="77777777" w:rsidR="009A2F4B" w:rsidRDefault="009A2F4B" w:rsidP="009A2F4B">
                <w:r>
                  <w:t xml:space="preserve">Sitwell was made </w:t>
                </w:r>
                <w:r w:rsidRPr="00405051">
                  <w:t xml:space="preserve">Dame Commander of the Order of the British Empire </w:t>
                </w:r>
                <w:r>
                  <w:t xml:space="preserve">in 1954 and a Companion of Literature in 1963. She died while working on </w:t>
                </w:r>
                <w:r w:rsidRPr="00555D7A">
                  <w:rPr>
                    <w:i/>
                  </w:rPr>
                  <w:t>Taken Care Of</w:t>
                </w:r>
                <w:r>
                  <w:t>, which was published posthumously.</w:t>
                </w:r>
              </w:p>
              <w:p w14:paraId="74AB7DD0" w14:textId="77777777" w:rsidR="009A2F4B" w:rsidRDefault="009A2F4B" w:rsidP="009A2F4B"/>
              <w:p w14:paraId="72067BE3" w14:textId="77777777" w:rsidR="009A2F4B" w:rsidRPr="009A2F4B" w:rsidRDefault="009A2F4B" w:rsidP="009A2F4B">
                <w:pPr>
                  <w:pStyle w:val="Heading1"/>
                </w:pPr>
                <w:r w:rsidRPr="00FA3BE1">
                  <w:t>Selected Bibliography</w:t>
                </w:r>
              </w:p>
              <w:p w14:paraId="7DCB9FE2" w14:textId="77777777" w:rsidR="009A2F4B" w:rsidRPr="009A2F4B" w:rsidRDefault="009A2F4B" w:rsidP="009A2F4B">
                <w:pPr>
                  <w:pStyle w:val="Heading2"/>
                </w:pPr>
                <w:r>
                  <w:t xml:space="preserve">Poetry: </w:t>
                </w:r>
              </w:p>
              <w:p w14:paraId="07C19B03" w14:textId="77777777" w:rsidR="009A2F4B" w:rsidRPr="00FA3BE1" w:rsidRDefault="009A2F4B" w:rsidP="009A2F4B">
                <w:pPr>
                  <w:pStyle w:val="NormalfollowingH2"/>
                </w:pPr>
                <w:r w:rsidRPr="009A2F4B">
                  <w:rPr>
                    <w:i/>
                  </w:rPr>
                  <w:t>The Mother and Other Poems</w:t>
                </w:r>
                <w:r w:rsidRPr="00FA3BE1">
                  <w:t xml:space="preserve"> (</w:t>
                </w:r>
                <w:r>
                  <w:t>1915)</w:t>
                </w:r>
              </w:p>
              <w:p w14:paraId="296489F3" w14:textId="77777777" w:rsidR="009A2F4B" w:rsidRPr="00FA3BE1" w:rsidRDefault="009A2F4B" w:rsidP="009A2F4B">
                <w:pPr>
                  <w:pStyle w:val="NormalfollowingH2"/>
                </w:pPr>
                <w:r w:rsidRPr="009A2F4B">
                  <w:rPr>
                    <w:i/>
                  </w:rPr>
                  <w:t>Façade</w:t>
                </w:r>
                <w:r w:rsidRPr="00FA3BE1">
                  <w:t xml:space="preserve"> (</w:t>
                </w:r>
                <w:r>
                  <w:t>1922)</w:t>
                </w:r>
              </w:p>
              <w:p w14:paraId="110CEA2D" w14:textId="77777777" w:rsidR="009A2F4B" w:rsidRPr="00FA3BE1" w:rsidRDefault="009A2F4B" w:rsidP="009A2F4B">
                <w:pPr>
                  <w:pStyle w:val="NormalfollowingH2"/>
                </w:pPr>
                <w:r w:rsidRPr="009A2F4B">
                  <w:rPr>
                    <w:i/>
                  </w:rPr>
                  <w:t>Bucolic Comedies</w:t>
                </w:r>
                <w:r w:rsidRPr="00FA3BE1">
                  <w:t xml:space="preserve"> (</w:t>
                </w:r>
                <w:r>
                  <w:t>1923)</w:t>
                </w:r>
              </w:p>
              <w:p w14:paraId="37806AFC" w14:textId="77777777" w:rsidR="009A2F4B" w:rsidRPr="00FA3BE1" w:rsidRDefault="009A2F4B" w:rsidP="009A2F4B">
                <w:pPr>
                  <w:pStyle w:val="NormalfollowingH2"/>
                </w:pPr>
                <w:r w:rsidRPr="009A2F4B">
                  <w:rPr>
                    <w:i/>
                  </w:rPr>
                  <w:t>The Sleeping Beauty</w:t>
                </w:r>
                <w:r w:rsidRPr="00FA3BE1">
                  <w:t xml:space="preserve"> (</w:t>
                </w:r>
                <w:r>
                  <w:t>1924)</w:t>
                </w:r>
              </w:p>
              <w:p w14:paraId="54950695" w14:textId="77777777" w:rsidR="009A2F4B" w:rsidRPr="00FA3BE1" w:rsidRDefault="009A2F4B" w:rsidP="009A2F4B">
                <w:pPr>
                  <w:pStyle w:val="NormalfollowingH2"/>
                </w:pPr>
                <w:r w:rsidRPr="009A2F4B">
                  <w:rPr>
                    <w:i/>
                  </w:rPr>
                  <w:t xml:space="preserve">Troy Park </w:t>
                </w:r>
                <w:r w:rsidRPr="00FA3BE1">
                  <w:t>(</w:t>
                </w:r>
                <w:r>
                  <w:t>1925)</w:t>
                </w:r>
              </w:p>
              <w:p w14:paraId="742A7571" w14:textId="77777777" w:rsidR="009A2F4B" w:rsidRPr="00FA3BE1" w:rsidRDefault="009A2F4B" w:rsidP="009A2F4B">
                <w:pPr>
                  <w:pStyle w:val="NormalfollowingH2"/>
                </w:pPr>
                <w:r w:rsidRPr="009A2F4B">
                  <w:rPr>
                    <w:i/>
                  </w:rPr>
                  <w:t>Gold Coast Customs</w:t>
                </w:r>
                <w:r w:rsidRPr="00FA3BE1">
                  <w:t xml:space="preserve"> (</w:t>
                </w:r>
                <w:r>
                  <w:t>1929)</w:t>
                </w:r>
              </w:p>
              <w:p w14:paraId="1BE85ECC" w14:textId="77777777" w:rsidR="009A2F4B" w:rsidRPr="00FA3BE1" w:rsidRDefault="009A2F4B" w:rsidP="009A2F4B">
                <w:pPr>
                  <w:pStyle w:val="NormalfollowingH2"/>
                </w:pPr>
                <w:r w:rsidRPr="009A2F4B">
                  <w:rPr>
                    <w:i/>
                  </w:rPr>
                  <w:t>Collected Poems</w:t>
                </w:r>
                <w:r w:rsidRPr="00FA3BE1">
                  <w:t xml:space="preserve"> (</w:t>
                </w:r>
                <w:r>
                  <w:t>1930)</w:t>
                </w:r>
              </w:p>
              <w:p w14:paraId="3C897D92" w14:textId="77777777" w:rsidR="009A2F4B" w:rsidRPr="00FA3BE1" w:rsidRDefault="009A2F4B" w:rsidP="009A2F4B">
                <w:pPr>
                  <w:pStyle w:val="NormalfollowingH2"/>
                </w:pPr>
                <w:r w:rsidRPr="009A2F4B">
                  <w:rPr>
                    <w:i/>
                  </w:rPr>
                  <w:t>Street Songs</w:t>
                </w:r>
                <w:r w:rsidRPr="00FA3BE1">
                  <w:t xml:space="preserve"> (</w:t>
                </w:r>
                <w:r>
                  <w:t>1942)</w:t>
                </w:r>
              </w:p>
              <w:p w14:paraId="01A30C21" w14:textId="77777777" w:rsidR="009A2F4B" w:rsidRPr="00FA3BE1" w:rsidRDefault="009A2F4B" w:rsidP="009A2F4B">
                <w:pPr>
                  <w:pStyle w:val="NormalfollowingH2"/>
                </w:pPr>
                <w:r w:rsidRPr="009A2F4B">
                  <w:rPr>
                    <w:i/>
                  </w:rPr>
                  <w:t>Green Song &amp; Other Poems</w:t>
                </w:r>
                <w:r w:rsidRPr="00FA3BE1">
                  <w:t xml:space="preserve"> (</w:t>
                </w:r>
                <w:r>
                  <w:t>1944)</w:t>
                </w:r>
              </w:p>
              <w:p w14:paraId="67150968" w14:textId="77777777" w:rsidR="009A2F4B" w:rsidRPr="00FA3BE1" w:rsidRDefault="009A2F4B" w:rsidP="009A2F4B">
                <w:pPr>
                  <w:pStyle w:val="NormalfollowingH2"/>
                </w:pPr>
                <w:r w:rsidRPr="009A2F4B">
                  <w:rPr>
                    <w:i/>
                  </w:rPr>
                  <w:t>The Shadow of Cain</w:t>
                </w:r>
                <w:r w:rsidRPr="00FA3BE1">
                  <w:t xml:space="preserve"> (</w:t>
                </w:r>
                <w:r>
                  <w:t>1947)</w:t>
                </w:r>
              </w:p>
              <w:p w14:paraId="2D16B632" w14:textId="77777777" w:rsidR="009A2F4B" w:rsidRDefault="009A2F4B" w:rsidP="009A2F4B">
                <w:pPr>
                  <w:pStyle w:val="NormalfollowingH2"/>
                </w:pPr>
                <w:r w:rsidRPr="009A2F4B">
                  <w:rPr>
                    <w:i/>
                  </w:rPr>
                  <w:t>Collected Poems</w:t>
                </w:r>
                <w:r w:rsidRPr="00FA3BE1">
                  <w:t xml:space="preserve"> (</w:t>
                </w:r>
                <w:r>
                  <w:t>1957)—awarded the Foyle Poetry Prize</w:t>
                </w:r>
              </w:p>
              <w:p w14:paraId="5B58722E" w14:textId="77777777" w:rsidR="009A2F4B" w:rsidRPr="00FA3BE1" w:rsidRDefault="009A2F4B" w:rsidP="009A2F4B">
                <w:pPr>
                  <w:pStyle w:val="NormalfollowingH2"/>
                </w:pPr>
                <w:r w:rsidRPr="009A2F4B">
                  <w:rPr>
                    <w:i/>
                  </w:rPr>
                  <w:lastRenderedPageBreak/>
                  <w:t>The Outcasts</w:t>
                </w:r>
                <w:r w:rsidRPr="00392199">
                  <w:t xml:space="preserve"> (1962)</w:t>
                </w:r>
              </w:p>
              <w:p w14:paraId="6B213CA1" w14:textId="77777777" w:rsidR="009A2F4B" w:rsidRDefault="009A2F4B" w:rsidP="009A2F4B">
                <w:pPr>
                  <w:rPr>
                    <w:b/>
                  </w:rPr>
                </w:pPr>
              </w:p>
              <w:p w14:paraId="751FD83B" w14:textId="77777777" w:rsidR="009A2F4B" w:rsidRPr="009A2F4B" w:rsidRDefault="009A2F4B" w:rsidP="009A2F4B">
                <w:pPr>
                  <w:pStyle w:val="Heading2"/>
                </w:pPr>
                <w:r>
                  <w:t>Novels:</w:t>
                </w:r>
              </w:p>
              <w:p w14:paraId="61B7576D" w14:textId="77777777" w:rsidR="009A2F4B" w:rsidRDefault="009A2F4B" w:rsidP="009A2F4B">
                <w:pPr>
                  <w:pStyle w:val="NormalfollowingH2"/>
                </w:pPr>
                <w:r w:rsidRPr="00FA3BE1">
                  <w:rPr>
                    <w:i/>
                    <w:iCs/>
                  </w:rPr>
                  <w:t>I Live Under a Black Sun</w:t>
                </w:r>
                <w:r w:rsidRPr="00FA3BE1">
                  <w:t xml:space="preserve"> (</w:t>
                </w:r>
                <w:r>
                  <w:t>1937)</w:t>
                </w:r>
              </w:p>
              <w:p w14:paraId="51A1E483" w14:textId="77777777" w:rsidR="009A2F4B" w:rsidRPr="00FA3BE1" w:rsidRDefault="009A2F4B" w:rsidP="009A2F4B">
                <w:pPr>
                  <w:ind w:left="720"/>
                </w:pPr>
              </w:p>
              <w:p w14:paraId="4AC84F5B" w14:textId="77777777" w:rsidR="009A2F4B" w:rsidRPr="009A2F4B" w:rsidRDefault="009A2F4B" w:rsidP="009A2F4B">
                <w:pPr>
                  <w:pStyle w:val="Heading2"/>
                </w:pPr>
                <w:r>
                  <w:t xml:space="preserve">Criticism: </w:t>
                </w:r>
              </w:p>
              <w:p w14:paraId="019920C4" w14:textId="77777777" w:rsidR="009A2F4B" w:rsidRPr="008656FA" w:rsidRDefault="009A2F4B" w:rsidP="009A2F4B">
                <w:pPr>
                  <w:pStyle w:val="NormalfollowingH2"/>
                </w:pPr>
                <w:r w:rsidRPr="008656FA">
                  <w:rPr>
                    <w:i/>
                    <w:iCs/>
                  </w:rPr>
                  <w:t>Aspects of Modern Poetry</w:t>
                </w:r>
                <w:r w:rsidRPr="008656FA">
                  <w:t xml:space="preserve"> (1934)</w:t>
                </w:r>
              </w:p>
              <w:p w14:paraId="6A8AB659" w14:textId="77777777" w:rsidR="009A2F4B" w:rsidRPr="008656FA" w:rsidRDefault="009A2F4B" w:rsidP="009A2F4B">
                <w:pPr>
                  <w:pStyle w:val="NormalfollowingH2"/>
                </w:pPr>
                <w:r w:rsidRPr="008656FA">
                  <w:rPr>
                    <w:i/>
                    <w:iCs/>
                  </w:rPr>
                  <w:t>A Poet's Notebook</w:t>
                </w:r>
                <w:r w:rsidRPr="008656FA">
                  <w:t xml:space="preserve"> (1943) </w:t>
                </w:r>
              </w:p>
              <w:p w14:paraId="6682688C" w14:textId="77777777" w:rsidR="009A2F4B" w:rsidRDefault="009A2F4B" w:rsidP="009A2F4B">
                <w:pPr>
                  <w:rPr>
                    <w:b/>
                  </w:rPr>
                </w:pPr>
              </w:p>
              <w:p w14:paraId="33F19D99" w14:textId="77777777" w:rsidR="009A2F4B" w:rsidRPr="009A2F4B" w:rsidRDefault="009A2F4B" w:rsidP="009A2F4B">
                <w:pPr>
                  <w:pStyle w:val="Heading2"/>
                </w:pPr>
                <w:r>
                  <w:t xml:space="preserve">Biographies: </w:t>
                </w:r>
              </w:p>
              <w:p w14:paraId="5737CF25" w14:textId="77777777" w:rsidR="009A2F4B" w:rsidRPr="008656FA" w:rsidRDefault="009A2F4B" w:rsidP="009A2F4B">
                <w:pPr>
                  <w:pStyle w:val="NormalfollowingH2"/>
                </w:pPr>
                <w:r w:rsidRPr="008656FA">
                  <w:rPr>
                    <w:i/>
                    <w:iCs/>
                  </w:rPr>
                  <w:t>Alexander Pope</w:t>
                </w:r>
                <w:r w:rsidRPr="008656FA">
                  <w:t xml:space="preserve"> (</w:t>
                </w:r>
                <w:r>
                  <w:t>1930)</w:t>
                </w:r>
              </w:p>
              <w:p w14:paraId="1312B31C" w14:textId="77777777" w:rsidR="009A2F4B" w:rsidRPr="008656FA" w:rsidRDefault="009A2F4B" w:rsidP="009A2F4B">
                <w:pPr>
                  <w:pStyle w:val="NormalfollowingH2"/>
                </w:pPr>
                <w:r w:rsidRPr="008656FA">
                  <w:rPr>
                    <w:i/>
                    <w:iCs/>
                  </w:rPr>
                  <w:t>Bath</w:t>
                </w:r>
                <w:r w:rsidRPr="008656FA">
                  <w:t xml:space="preserve"> (</w:t>
                </w:r>
                <w:r>
                  <w:t>1932)</w:t>
                </w:r>
              </w:p>
              <w:p w14:paraId="4F6DE587" w14:textId="77777777" w:rsidR="009A2F4B" w:rsidRPr="008656FA" w:rsidRDefault="009A2F4B" w:rsidP="009A2F4B">
                <w:pPr>
                  <w:pStyle w:val="NormalfollowingH2"/>
                </w:pPr>
                <w:r w:rsidRPr="008656FA">
                  <w:rPr>
                    <w:i/>
                    <w:iCs/>
                  </w:rPr>
                  <w:t>The English Eccentrics</w:t>
                </w:r>
                <w:r w:rsidRPr="008656FA">
                  <w:t xml:space="preserve"> (</w:t>
                </w:r>
                <w:r>
                  <w:t>1933)</w:t>
                </w:r>
              </w:p>
              <w:p w14:paraId="460B5A43" w14:textId="77777777" w:rsidR="009A2F4B" w:rsidRPr="008656FA" w:rsidRDefault="009A2F4B" w:rsidP="009A2F4B">
                <w:pPr>
                  <w:pStyle w:val="NormalfollowingH2"/>
                </w:pPr>
                <w:r w:rsidRPr="008656FA">
                  <w:rPr>
                    <w:i/>
                    <w:iCs/>
                  </w:rPr>
                  <w:t>Victoria of England</w:t>
                </w:r>
                <w:r w:rsidRPr="008656FA">
                  <w:t xml:space="preserve"> (</w:t>
                </w:r>
                <w:r>
                  <w:t>1936)</w:t>
                </w:r>
              </w:p>
              <w:p w14:paraId="3C929D99" w14:textId="77777777" w:rsidR="009A2F4B" w:rsidRPr="008656FA" w:rsidRDefault="009A2F4B" w:rsidP="009A2F4B">
                <w:pPr>
                  <w:pStyle w:val="NormalfollowingH2"/>
                </w:pPr>
                <w:r w:rsidRPr="008656FA">
                  <w:rPr>
                    <w:i/>
                    <w:iCs/>
                  </w:rPr>
                  <w:t>Fanfare for Elizabeth</w:t>
                </w:r>
                <w:r w:rsidRPr="008656FA">
                  <w:t xml:space="preserve"> (1946</w:t>
                </w:r>
                <w:r>
                  <w:t>)</w:t>
                </w:r>
              </w:p>
              <w:p w14:paraId="5FB4C794" w14:textId="77777777" w:rsidR="009A2F4B" w:rsidRPr="008656FA" w:rsidRDefault="009A2F4B" w:rsidP="009A2F4B">
                <w:pPr>
                  <w:pStyle w:val="NormalfollowingH2"/>
                </w:pPr>
                <w:r w:rsidRPr="008656FA">
                  <w:rPr>
                    <w:i/>
                    <w:iCs/>
                  </w:rPr>
                  <w:t>The Queens of the Hive</w:t>
                </w:r>
                <w:r w:rsidRPr="008656FA">
                  <w:t xml:space="preserve"> (</w:t>
                </w:r>
                <w:r>
                  <w:t>1962)</w:t>
                </w:r>
              </w:p>
              <w:p w14:paraId="3559602B" w14:textId="77777777" w:rsidR="003F0D73" w:rsidRDefault="009A2F4B" w:rsidP="009A2F4B">
                <w:pPr>
                  <w:pStyle w:val="NormalfollowingH2"/>
                </w:pPr>
                <w:r w:rsidRPr="008656FA">
                  <w:rPr>
                    <w:i/>
                    <w:iCs/>
                  </w:rPr>
                  <w:t>Taken Care Of</w:t>
                </w:r>
                <w:r w:rsidRPr="008656FA">
                  <w:t xml:space="preserve"> (1965</w:t>
                </w:r>
                <w:r>
                  <w:t>)</w:t>
                </w:r>
              </w:p>
            </w:tc>
          </w:sdtContent>
        </w:sdt>
      </w:tr>
      <w:tr w:rsidR="003235A7" w14:paraId="141CF8E7" w14:textId="77777777" w:rsidTr="003235A7">
        <w:tc>
          <w:tcPr>
            <w:tcW w:w="9016" w:type="dxa"/>
          </w:tcPr>
          <w:p w14:paraId="4B60B5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D72D970FCD69F41A2C5E48440D83586"/>
              </w:placeholder>
            </w:sdtPr>
            <w:sdtEndPr/>
            <w:sdtContent>
              <w:p w14:paraId="582AA554" w14:textId="77777777" w:rsidR="009A2F4B" w:rsidRDefault="009A2F4B" w:rsidP="009A2F4B"/>
              <w:p w14:paraId="77156207" w14:textId="77777777" w:rsidR="009A2F4B" w:rsidRDefault="009A2F4B" w:rsidP="009A2F4B">
                <w:sdt>
                  <w:sdtPr>
                    <w:id w:val="1951745583"/>
                    <w:citation/>
                  </w:sdtPr>
                  <w:sdtContent>
                    <w:r>
                      <w:fldChar w:fldCharType="begin"/>
                    </w:r>
                    <w:r>
                      <w:rPr>
                        <w:lang w:val="en-US"/>
                      </w:rPr>
                      <w:instrText xml:space="preserve"> CITATION Bra94 \l 1033 </w:instrText>
                    </w:r>
                    <w:r>
                      <w:fldChar w:fldCharType="separate"/>
                    </w:r>
                    <w:r>
                      <w:rPr>
                        <w:noProof/>
                        <w:lang w:val="en-US"/>
                      </w:rPr>
                      <w:t>(Bradford and al.)</w:t>
                    </w:r>
                    <w:r>
                      <w:fldChar w:fldCharType="end"/>
                    </w:r>
                  </w:sdtContent>
                </w:sdt>
              </w:p>
              <w:p w14:paraId="0A5E9092" w14:textId="77777777" w:rsidR="009A2F4B" w:rsidRDefault="009A2F4B" w:rsidP="009A2F4B"/>
              <w:p w14:paraId="68DCE569" w14:textId="77777777" w:rsidR="009A2F4B" w:rsidRDefault="009A2F4B" w:rsidP="009A2F4B">
                <w:sdt>
                  <w:sdtPr>
                    <w:id w:val="-373004212"/>
                    <w:citation/>
                  </w:sdtPr>
                  <w:sdtContent>
                    <w:r>
                      <w:fldChar w:fldCharType="begin"/>
                    </w:r>
                    <w:r>
                      <w:rPr>
                        <w:lang w:val="en-US"/>
                      </w:rPr>
                      <w:instrText xml:space="preserve"> CITATION Gle81 \l 1033 </w:instrText>
                    </w:r>
                    <w:r>
                      <w:fldChar w:fldCharType="separate"/>
                    </w:r>
                    <w:r>
                      <w:rPr>
                        <w:noProof/>
                        <w:lang w:val="en-US"/>
                      </w:rPr>
                      <w:t>(Glendenning)</w:t>
                    </w:r>
                    <w:r>
                      <w:fldChar w:fldCharType="end"/>
                    </w:r>
                  </w:sdtContent>
                </w:sdt>
              </w:p>
              <w:p w14:paraId="7D59EC12" w14:textId="77777777" w:rsidR="009A2F4B" w:rsidRDefault="009A2F4B" w:rsidP="009A2F4B"/>
              <w:p w14:paraId="7DC26333" w14:textId="77777777" w:rsidR="009A2F4B" w:rsidRDefault="009A2F4B" w:rsidP="009A2F4B">
                <w:sdt>
                  <w:sdtPr>
                    <w:id w:val="-2038040550"/>
                    <w:citation/>
                  </w:sdtPr>
                  <w:sdtContent>
                    <w:r>
                      <w:fldChar w:fldCharType="begin"/>
                    </w:r>
                    <w:r>
                      <w:rPr>
                        <w:lang w:val="en-US"/>
                      </w:rPr>
                      <w:instrText xml:space="preserve"> CITATION Gre11 \l 1033 </w:instrText>
                    </w:r>
                    <w:r>
                      <w:fldChar w:fldCharType="separate"/>
                    </w:r>
                    <w:r>
                      <w:rPr>
                        <w:noProof/>
                        <w:lang w:val="en-US"/>
                      </w:rPr>
                      <w:t>(Greene)</w:t>
                    </w:r>
                    <w:r>
                      <w:fldChar w:fldCharType="end"/>
                    </w:r>
                  </w:sdtContent>
                </w:sdt>
              </w:p>
              <w:p w14:paraId="256494B0" w14:textId="77777777" w:rsidR="009A2F4B" w:rsidRDefault="009A2F4B" w:rsidP="009A2F4B"/>
              <w:p w14:paraId="1EA8F2D7" w14:textId="77777777" w:rsidR="009A2F4B" w:rsidRDefault="009A2F4B" w:rsidP="009A2F4B">
                <w:sdt>
                  <w:sdtPr>
                    <w:id w:val="-1095786566"/>
                    <w:citation/>
                  </w:sdtPr>
                  <w:sdtContent>
                    <w:r>
                      <w:fldChar w:fldCharType="begin"/>
                    </w:r>
                    <w:r>
                      <w:rPr>
                        <w:lang w:val="en-US"/>
                      </w:rPr>
                      <w:instrText xml:space="preserve"> CITATION Leh68 \l 1033 </w:instrText>
                    </w:r>
                    <w:r>
                      <w:fldChar w:fldCharType="separate"/>
                    </w:r>
                    <w:r>
                      <w:rPr>
                        <w:noProof/>
                        <w:lang w:val="en-US"/>
                      </w:rPr>
                      <w:t>(Lehmann)</w:t>
                    </w:r>
                    <w:r>
                      <w:fldChar w:fldCharType="end"/>
                    </w:r>
                  </w:sdtContent>
                </w:sdt>
              </w:p>
              <w:p w14:paraId="5278DFD8" w14:textId="77777777" w:rsidR="009A2F4B" w:rsidRDefault="009A2F4B" w:rsidP="009A2F4B"/>
              <w:p w14:paraId="02305516" w14:textId="77777777" w:rsidR="009A2F4B" w:rsidRDefault="009A2F4B" w:rsidP="009A2F4B">
                <w:sdt>
                  <w:sdtPr>
                    <w:id w:val="7110437"/>
                    <w:citation/>
                  </w:sdtPr>
                  <w:sdtContent>
                    <w:r>
                      <w:fldChar w:fldCharType="begin"/>
                    </w:r>
                    <w:r>
                      <w:rPr>
                        <w:lang w:val="en-US"/>
                      </w:rPr>
                      <w:instrText xml:space="preserve"> CITATION Pea79 \l 1033 </w:instrText>
                    </w:r>
                    <w:r>
                      <w:fldChar w:fldCharType="separate"/>
                    </w:r>
                    <w:r>
                      <w:rPr>
                        <w:noProof/>
                        <w:lang w:val="en-US"/>
                      </w:rPr>
                      <w:t>(Pearson)</w:t>
                    </w:r>
                    <w:r>
                      <w:fldChar w:fldCharType="end"/>
                    </w:r>
                  </w:sdtContent>
                </w:sdt>
              </w:p>
              <w:p w14:paraId="133CEAE3" w14:textId="77777777" w:rsidR="009A2F4B" w:rsidRDefault="009A2F4B" w:rsidP="009A2F4B"/>
              <w:p w14:paraId="230BBB4B" w14:textId="77777777" w:rsidR="003235A7" w:rsidRDefault="009A2F4B" w:rsidP="009A2F4B">
                <w:pPr>
                  <w:keepNext/>
                </w:pPr>
                <w:sdt>
                  <w:sdtPr>
                    <w:id w:val="764732091"/>
                    <w:citation/>
                  </w:sdtPr>
                  <w:sdtContent>
                    <w:r>
                      <w:fldChar w:fldCharType="begin"/>
                    </w:r>
                    <w:r>
                      <w:rPr>
                        <w:lang w:val="en-US"/>
                      </w:rPr>
                      <w:instrText xml:space="preserve"> CITATION Vil48 \l 1033 </w:instrText>
                    </w:r>
                    <w:r>
                      <w:fldChar w:fldCharType="separate"/>
                    </w:r>
                    <w:r>
                      <w:rPr>
                        <w:noProof/>
                        <w:lang w:val="en-US"/>
                      </w:rPr>
                      <w:t>(Villa)</w:t>
                    </w:r>
                    <w:r>
                      <w:fldChar w:fldCharType="end"/>
                    </w:r>
                  </w:sdtContent>
                </w:sdt>
              </w:p>
            </w:sdtContent>
          </w:sdt>
        </w:tc>
      </w:tr>
    </w:tbl>
    <w:p w14:paraId="3685626D" w14:textId="77777777" w:rsidR="00C27FAB" w:rsidRPr="00F36937" w:rsidRDefault="00C27FAB" w:rsidP="009A2F4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46536" w14:textId="77777777" w:rsidR="003A55D2" w:rsidRDefault="003A55D2" w:rsidP="007A0D55">
      <w:pPr>
        <w:spacing w:after="0" w:line="240" w:lineRule="auto"/>
      </w:pPr>
      <w:r>
        <w:separator/>
      </w:r>
    </w:p>
  </w:endnote>
  <w:endnote w:type="continuationSeparator" w:id="0">
    <w:p w14:paraId="19362BD8" w14:textId="77777777" w:rsidR="003A55D2" w:rsidRDefault="003A55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DC564" w14:textId="77777777" w:rsidR="003A55D2" w:rsidRDefault="003A55D2" w:rsidP="007A0D55">
      <w:pPr>
        <w:spacing w:after="0" w:line="240" w:lineRule="auto"/>
      </w:pPr>
      <w:r>
        <w:separator/>
      </w:r>
    </w:p>
  </w:footnote>
  <w:footnote w:type="continuationSeparator" w:id="0">
    <w:p w14:paraId="08A50FB8" w14:textId="77777777" w:rsidR="003A55D2" w:rsidRDefault="003A55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75AA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FD789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5D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2F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8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5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5D2"/>
    <w:rPr>
      <w:rFonts w:ascii="Lucida Grande" w:hAnsi="Lucida Grande" w:cs="Lucida Grande"/>
      <w:sz w:val="18"/>
      <w:szCs w:val="18"/>
    </w:rPr>
  </w:style>
  <w:style w:type="paragraph" w:styleId="Caption">
    <w:name w:val="caption"/>
    <w:basedOn w:val="Normal"/>
    <w:next w:val="Normal"/>
    <w:uiPriority w:val="35"/>
    <w:semiHidden/>
    <w:qFormat/>
    <w:rsid w:val="009A2F4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5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5D2"/>
    <w:rPr>
      <w:rFonts w:ascii="Lucida Grande" w:hAnsi="Lucida Grande" w:cs="Lucida Grande"/>
      <w:sz w:val="18"/>
      <w:szCs w:val="18"/>
    </w:rPr>
  </w:style>
  <w:style w:type="paragraph" w:styleId="Caption">
    <w:name w:val="caption"/>
    <w:basedOn w:val="Normal"/>
    <w:next w:val="Normal"/>
    <w:uiPriority w:val="35"/>
    <w:semiHidden/>
    <w:qFormat/>
    <w:rsid w:val="009A2F4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B491038656D0488E757016D1F7369B"/>
        <w:category>
          <w:name w:val="General"/>
          <w:gallery w:val="placeholder"/>
        </w:category>
        <w:types>
          <w:type w:val="bbPlcHdr"/>
        </w:types>
        <w:behaviors>
          <w:behavior w:val="content"/>
        </w:behaviors>
        <w:guid w:val="{FC48B21E-D578-2A42-88ED-775EA8A1BEE6}"/>
      </w:docPartPr>
      <w:docPartBody>
        <w:p w:rsidR="00000000" w:rsidRDefault="004E117A">
          <w:pPr>
            <w:pStyle w:val="2CB491038656D0488E757016D1F7369B"/>
          </w:pPr>
          <w:r w:rsidRPr="00CC586D">
            <w:rPr>
              <w:rStyle w:val="PlaceholderText"/>
              <w:b/>
              <w:color w:val="FFFFFF" w:themeColor="background1"/>
            </w:rPr>
            <w:t>[Salutation]</w:t>
          </w:r>
        </w:p>
      </w:docPartBody>
    </w:docPart>
    <w:docPart>
      <w:docPartPr>
        <w:name w:val="CE9FF1554C54F94A8A2F112FF14A852C"/>
        <w:category>
          <w:name w:val="General"/>
          <w:gallery w:val="placeholder"/>
        </w:category>
        <w:types>
          <w:type w:val="bbPlcHdr"/>
        </w:types>
        <w:behaviors>
          <w:behavior w:val="content"/>
        </w:behaviors>
        <w:guid w:val="{B5BD8097-F218-9849-912F-C078A28C9326}"/>
      </w:docPartPr>
      <w:docPartBody>
        <w:p w:rsidR="00000000" w:rsidRDefault="004E117A">
          <w:pPr>
            <w:pStyle w:val="CE9FF1554C54F94A8A2F112FF14A852C"/>
          </w:pPr>
          <w:r>
            <w:rPr>
              <w:rStyle w:val="PlaceholderText"/>
            </w:rPr>
            <w:t>[First name]</w:t>
          </w:r>
        </w:p>
      </w:docPartBody>
    </w:docPart>
    <w:docPart>
      <w:docPartPr>
        <w:name w:val="23DC74886F4646418FFE8A89238807D4"/>
        <w:category>
          <w:name w:val="General"/>
          <w:gallery w:val="placeholder"/>
        </w:category>
        <w:types>
          <w:type w:val="bbPlcHdr"/>
        </w:types>
        <w:behaviors>
          <w:behavior w:val="content"/>
        </w:behaviors>
        <w:guid w:val="{BCBFA34C-3BB2-6147-BC78-244B88D2483B}"/>
      </w:docPartPr>
      <w:docPartBody>
        <w:p w:rsidR="00000000" w:rsidRDefault="004E117A">
          <w:pPr>
            <w:pStyle w:val="23DC74886F4646418FFE8A89238807D4"/>
          </w:pPr>
          <w:r>
            <w:rPr>
              <w:rStyle w:val="PlaceholderText"/>
            </w:rPr>
            <w:t>[Middle name]</w:t>
          </w:r>
        </w:p>
      </w:docPartBody>
    </w:docPart>
    <w:docPart>
      <w:docPartPr>
        <w:name w:val="6CAB11D474E02140B4DC1DDB64165B51"/>
        <w:category>
          <w:name w:val="General"/>
          <w:gallery w:val="placeholder"/>
        </w:category>
        <w:types>
          <w:type w:val="bbPlcHdr"/>
        </w:types>
        <w:behaviors>
          <w:behavior w:val="content"/>
        </w:behaviors>
        <w:guid w:val="{8933427F-7DF5-074A-AD81-10AD7C5D8398}"/>
      </w:docPartPr>
      <w:docPartBody>
        <w:p w:rsidR="00000000" w:rsidRDefault="004E117A">
          <w:pPr>
            <w:pStyle w:val="6CAB11D474E02140B4DC1DDB64165B51"/>
          </w:pPr>
          <w:r>
            <w:rPr>
              <w:rStyle w:val="PlaceholderText"/>
            </w:rPr>
            <w:t>[Last name]</w:t>
          </w:r>
        </w:p>
      </w:docPartBody>
    </w:docPart>
    <w:docPart>
      <w:docPartPr>
        <w:name w:val="24244F8088C52D4B83C804F058B22EB0"/>
        <w:category>
          <w:name w:val="General"/>
          <w:gallery w:val="placeholder"/>
        </w:category>
        <w:types>
          <w:type w:val="bbPlcHdr"/>
        </w:types>
        <w:behaviors>
          <w:behavior w:val="content"/>
        </w:behaviors>
        <w:guid w:val="{4CB7E4A5-6032-5F40-A2D4-63CB034168C3}"/>
      </w:docPartPr>
      <w:docPartBody>
        <w:p w:rsidR="00000000" w:rsidRDefault="004E117A">
          <w:pPr>
            <w:pStyle w:val="24244F8088C52D4B83C804F058B22EB0"/>
          </w:pPr>
          <w:r>
            <w:rPr>
              <w:rStyle w:val="PlaceholderText"/>
            </w:rPr>
            <w:t>[Enter your biography]</w:t>
          </w:r>
        </w:p>
      </w:docPartBody>
    </w:docPart>
    <w:docPart>
      <w:docPartPr>
        <w:name w:val="55ACB4CED5F28346A65AB49BD2DFB748"/>
        <w:category>
          <w:name w:val="General"/>
          <w:gallery w:val="placeholder"/>
        </w:category>
        <w:types>
          <w:type w:val="bbPlcHdr"/>
        </w:types>
        <w:behaviors>
          <w:behavior w:val="content"/>
        </w:behaviors>
        <w:guid w:val="{BEC9A2E4-4DA2-FE4F-985F-2312A238D90B}"/>
      </w:docPartPr>
      <w:docPartBody>
        <w:p w:rsidR="00000000" w:rsidRDefault="004E117A">
          <w:pPr>
            <w:pStyle w:val="55ACB4CED5F28346A65AB49BD2DFB748"/>
          </w:pPr>
          <w:r>
            <w:rPr>
              <w:rStyle w:val="PlaceholderText"/>
            </w:rPr>
            <w:t>[Enter the institution with which you are affiliated]</w:t>
          </w:r>
        </w:p>
      </w:docPartBody>
    </w:docPart>
    <w:docPart>
      <w:docPartPr>
        <w:name w:val="50872281C3A33C4EB8B8D26CE314BFC3"/>
        <w:category>
          <w:name w:val="General"/>
          <w:gallery w:val="placeholder"/>
        </w:category>
        <w:types>
          <w:type w:val="bbPlcHdr"/>
        </w:types>
        <w:behaviors>
          <w:behavior w:val="content"/>
        </w:behaviors>
        <w:guid w:val="{8C73E436-A8B9-2A42-BCA2-918049FB6E13}"/>
      </w:docPartPr>
      <w:docPartBody>
        <w:p w:rsidR="00000000" w:rsidRDefault="004E117A">
          <w:pPr>
            <w:pStyle w:val="50872281C3A33C4EB8B8D26CE314BFC3"/>
          </w:pPr>
          <w:r w:rsidRPr="00EF74F7">
            <w:rPr>
              <w:b/>
              <w:color w:val="808080" w:themeColor="background1" w:themeShade="80"/>
            </w:rPr>
            <w:t>[Enter the headword for your article]</w:t>
          </w:r>
        </w:p>
      </w:docPartBody>
    </w:docPart>
    <w:docPart>
      <w:docPartPr>
        <w:name w:val="C1BCDC7B14F2D344B34988C87313AECF"/>
        <w:category>
          <w:name w:val="General"/>
          <w:gallery w:val="placeholder"/>
        </w:category>
        <w:types>
          <w:type w:val="bbPlcHdr"/>
        </w:types>
        <w:behaviors>
          <w:behavior w:val="content"/>
        </w:behaviors>
        <w:guid w:val="{81F5BDB1-D363-B04B-94E4-C529B20594F2}"/>
      </w:docPartPr>
      <w:docPartBody>
        <w:p w:rsidR="00000000" w:rsidRDefault="004E117A">
          <w:pPr>
            <w:pStyle w:val="C1BCDC7B14F2D344B34988C87313AE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2A70EE4EBE584BB56F019112969134"/>
        <w:category>
          <w:name w:val="General"/>
          <w:gallery w:val="placeholder"/>
        </w:category>
        <w:types>
          <w:type w:val="bbPlcHdr"/>
        </w:types>
        <w:behaviors>
          <w:behavior w:val="content"/>
        </w:behaviors>
        <w:guid w:val="{403DE44A-4533-8445-A351-C2902DDAF2BF}"/>
      </w:docPartPr>
      <w:docPartBody>
        <w:p w:rsidR="00000000" w:rsidRDefault="004E117A">
          <w:pPr>
            <w:pStyle w:val="5F2A70EE4EBE584BB56F0191129691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59BC8A4C677548A0455FF239F8F307"/>
        <w:category>
          <w:name w:val="General"/>
          <w:gallery w:val="placeholder"/>
        </w:category>
        <w:types>
          <w:type w:val="bbPlcHdr"/>
        </w:types>
        <w:behaviors>
          <w:behavior w:val="content"/>
        </w:behaviors>
        <w:guid w:val="{4F54AE8E-DF91-D04B-8E6D-70224C778C5A}"/>
      </w:docPartPr>
      <w:docPartBody>
        <w:p w:rsidR="00000000" w:rsidRDefault="004E117A">
          <w:pPr>
            <w:pStyle w:val="C659BC8A4C677548A0455FF239F8F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72D970FCD69F41A2C5E48440D83586"/>
        <w:category>
          <w:name w:val="General"/>
          <w:gallery w:val="placeholder"/>
        </w:category>
        <w:types>
          <w:type w:val="bbPlcHdr"/>
        </w:types>
        <w:behaviors>
          <w:behavior w:val="content"/>
        </w:behaviors>
        <w:guid w:val="{542B153B-01C4-B243-8C44-740AF33DD739}"/>
      </w:docPartPr>
      <w:docPartBody>
        <w:p w:rsidR="00000000" w:rsidRDefault="004E117A">
          <w:pPr>
            <w:pStyle w:val="9D72D970FCD69F41A2C5E48440D835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491038656D0488E757016D1F7369B">
    <w:name w:val="2CB491038656D0488E757016D1F7369B"/>
  </w:style>
  <w:style w:type="paragraph" w:customStyle="1" w:styleId="CE9FF1554C54F94A8A2F112FF14A852C">
    <w:name w:val="CE9FF1554C54F94A8A2F112FF14A852C"/>
  </w:style>
  <w:style w:type="paragraph" w:customStyle="1" w:styleId="23DC74886F4646418FFE8A89238807D4">
    <w:name w:val="23DC74886F4646418FFE8A89238807D4"/>
  </w:style>
  <w:style w:type="paragraph" w:customStyle="1" w:styleId="6CAB11D474E02140B4DC1DDB64165B51">
    <w:name w:val="6CAB11D474E02140B4DC1DDB64165B51"/>
  </w:style>
  <w:style w:type="paragraph" w:customStyle="1" w:styleId="24244F8088C52D4B83C804F058B22EB0">
    <w:name w:val="24244F8088C52D4B83C804F058B22EB0"/>
  </w:style>
  <w:style w:type="paragraph" w:customStyle="1" w:styleId="55ACB4CED5F28346A65AB49BD2DFB748">
    <w:name w:val="55ACB4CED5F28346A65AB49BD2DFB748"/>
  </w:style>
  <w:style w:type="paragraph" w:customStyle="1" w:styleId="50872281C3A33C4EB8B8D26CE314BFC3">
    <w:name w:val="50872281C3A33C4EB8B8D26CE314BFC3"/>
  </w:style>
  <w:style w:type="paragraph" w:customStyle="1" w:styleId="C1BCDC7B14F2D344B34988C87313AECF">
    <w:name w:val="C1BCDC7B14F2D344B34988C87313AECF"/>
  </w:style>
  <w:style w:type="paragraph" w:customStyle="1" w:styleId="5F2A70EE4EBE584BB56F019112969134">
    <w:name w:val="5F2A70EE4EBE584BB56F019112969134"/>
  </w:style>
  <w:style w:type="paragraph" w:customStyle="1" w:styleId="C659BC8A4C677548A0455FF239F8F307">
    <w:name w:val="C659BC8A4C677548A0455FF239F8F307"/>
  </w:style>
  <w:style w:type="paragraph" w:customStyle="1" w:styleId="9D72D970FCD69F41A2C5E48440D83586">
    <w:name w:val="9D72D970FCD69F41A2C5E48440D835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491038656D0488E757016D1F7369B">
    <w:name w:val="2CB491038656D0488E757016D1F7369B"/>
  </w:style>
  <w:style w:type="paragraph" w:customStyle="1" w:styleId="CE9FF1554C54F94A8A2F112FF14A852C">
    <w:name w:val="CE9FF1554C54F94A8A2F112FF14A852C"/>
  </w:style>
  <w:style w:type="paragraph" w:customStyle="1" w:styleId="23DC74886F4646418FFE8A89238807D4">
    <w:name w:val="23DC74886F4646418FFE8A89238807D4"/>
  </w:style>
  <w:style w:type="paragraph" w:customStyle="1" w:styleId="6CAB11D474E02140B4DC1DDB64165B51">
    <w:name w:val="6CAB11D474E02140B4DC1DDB64165B51"/>
  </w:style>
  <w:style w:type="paragraph" w:customStyle="1" w:styleId="24244F8088C52D4B83C804F058B22EB0">
    <w:name w:val="24244F8088C52D4B83C804F058B22EB0"/>
  </w:style>
  <w:style w:type="paragraph" w:customStyle="1" w:styleId="55ACB4CED5F28346A65AB49BD2DFB748">
    <w:name w:val="55ACB4CED5F28346A65AB49BD2DFB748"/>
  </w:style>
  <w:style w:type="paragraph" w:customStyle="1" w:styleId="50872281C3A33C4EB8B8D26CE314BFC3">
    <w:name w:val="50872281C3A33C4EB8B8D26CE314BFC3"/>
  </w:style>
  <w:style w:type="paragraph" w:customStyle="1" w:styleId="C1BCDC7B14F2D344B34988C87313AECF">
    <w:name w:val="C1BCDC7B14F2D344B34988C87313AECF"/>
  </w:style>
  <w:style w:type="paragraph" w:customStyle="1" w:styleId="5F2A70EE4EBE584BB56F019112969134">
    <w:name w:val="5F2A70EE4EBE584BB56F019112969134"/>
  </w:style>
  <w:style w:type="paragraph" w:customStyle="1" w:styleId="C659BC8A4C677548A0455FF239F8F307">
    <w:name w:val="C659BC8A4C677548A0455FF239F8F307"/>
  </w:style>
  <w:style w:type="paragraph" w:customStyle="1" w:styleId="9D72D970FCD69F41A2C5E48440D83586">
    <w:name w:val="9D72D970FCD69F41A2C5E48440D83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Bra94</b:Tag>
    <b:SourceType>Book</b:SourceType>
    <b:Guid>{7E10296E-B463-F844-8549-57C5407670F5}</b:Guid>
    <b:Author>
      <b:Author>
        <b:NameList>
          <b:Person>
            <b:Last>Bradford</b:Last>
            <b:First>Sarah</b:First>
          </b:Person>
          <b:Person>
            <b:Last>al.</b:Last>
            <b:First>et.</b:First>
          </b:Person>
        </b:NameList>
      </b:Author>
    </b:Author>
    <b:Title>The Sitwells and the Arts of the 1920s and 1930s</b:Title>
    <b:City>London</b:City>
    <b:Publisher>National Portrait Gallery Publications</b:Publisher>
    <b:Year>1994</b:Year>
    <b:RefOrder>1</b:RefOrder>
  </b:Source>
  <b:Source>
    <b:Tag>Gle81</b:Tag>
    <b:SourceType>Book</b:SourceType>
    <b:Guid>{51EDF317-B214-FE41-BAF7-BA326A034AA6}</b:Guid>
    <b:Author>
      <b:Author>
        <b:NameList>
          <b:Person>
            <b:Last>Glendenning</b:Last>
            <b:First>Victoria</b:First>
          </b:Person>
        </b:NameList>
      </b:Author>
    </b:Author>
    <b:Title>Edith Sitwell: A Unicorn among Lions</b:Title>
    <b:City>London</b:City>
    <b:Publisher>Weidenfeld &amp; Nicolson</b:Publisher>
    <b:Year>1981</b:Year>
    <b:RefOrder>2</b:RefOrder>
  </b:Source>
  <b:Source>
    <b:Tag>Gre11</b:Tag>
    <b:SourceType>Book</b:SourceType>
    <b:Guid>{23CAFDE8-6EA2-FB4B-B8BD-71AF25950468}</b:Guid>
    <b:Author>
      <b:Author>
        <b:NameList>
          <b:Person>
            <b:Last>Greene</b:Last>
            <b:First>Richard</b:First>
          </b:Person>
        </b:NameList>
      </b:Author>
    </b:Author>
    <b:Title>Edith Sitwell: Avant Garde Poet, English Genius</b:Title>
    <b:City>London</b:City>
    <b:Publisher>Virago Press</b:Publisher>
    <b:Year>2011</b:Year>
    <b:RefOrder>3</b:RefOrder>
  </b:Source>
  <b:Source>
    <b:Tag>Leh68</b:Tag>
    <b:SourceType>Book</b:SourceType>
    <b:Guid>{119F4074-D291-964E-9823-4FF514025510}</b:Guid>
    <b:Author>
      <b:Author>
        <b:NameList>
          <b:Person>
            <b:Last>Lehmann</b:Last>
            <b:First>John</b:First>
          </b:Person>
        </b:NameList>
      </b:Author>
    </b:Author>
    <b:Title>A Nest of Tigers: The Sitwells in Their Times</b:Title>
    <b:City>London</b:City>
    <b:Publisher>Macmillan</b:Publisher>
    <b:Year>1968</b:Year>
    <b:RefOrder>4</b:RefOrder>
  </b:Source>
  <b:Source>
    <b:Tag>Pea79</b:Tag>
    <b:SourceType>Book</b:SourceType>
    <b:Guid>{FD8D68AF-5876-A54F-A62F-3EF8F53A3C43}</b:Guid>
    <b:Author>
      <b:Author>
        <b:NameList>
          <b:Person>
            <b:Last>Pearson</b:Last>
            <b:First>John</b:First>
          </b:Person>
        </b:NameList>
      </b:Author>
    </b:Author>
    <b:Title>The Sitwells: A Family’s Biography</b:Title>
    <b:City>New York</b:City>
    <b:Publisher>Harcourt, Brace</b:Publisher>
    <b:Year>1979</b:Year>
    <b:RefOrder>5</b:RefOrder>
  </b:Source>
  <b:Source>
    <b:Tag>Vil48</b:Tag>
    <b:SourceType>Book</b:SourceType>
    <b:Guid>{823F019A-52D7-2346-A93E-B640C8945C52}</b:Guid>
    <b:Author>
      <b:Author>
        <b:NameList>
          <b:Person>
            <b:Last>Villa</b:Last>
            <b:First>Jose</b:First>
            <b:Middle>Garcia</b:Middle>
          </b:Person>
        </b:NameList>
      </b:Author>
    </b:Author>
    <b:Title>A Celebration for Edith Sitwell</b:Title>
    <b:City>Parsippany</b:City>
    <b:StateProvince>NJ</b:StateProvince>
    <b:Publisher>New Directions</b:Publisher>
    <b:Year>1948</b:Year>
    <b:RefOrder>6</b:RefOrder>
  </b:Source>
</b:Sources>
</file>

<file path=customXml/itemProps1.xml><?xml version="1.0" encoding="utf-8"?>
<ds:datastoreItem xmlns:ds="http://schemas.openxmlformats.org/officeDocument/2006/customXml" ds:itemID="{14E332EF-DF77-2841-B079-5B10144E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965</Words>
  <Characters>5504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2016-01-20T05:00:00Z</dcterms:created>
  <dcterms:modified xsi:type="dcterms:W3CDTF">2016-01-20T05:16:00Z</dcterms:modified>
</cp:coreProperties>
</file>