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10F" w:rsidRDefault="001F610F" w:rsidP="00953F23">
      <w:pPr>
        <w:spacing w:after="0" w:line="480" w:lineRule="auto"/>
        <w:contextualSpacing/>
        <w:rPr>
          <w:b/>
        </w:rPr>
      </w:pPr>
      <w:bookmarkStart w:id="0" w:name="_GoBack"/>
      <w:bookmarkEnd w:id="0"/>
      <w:proofErr w:type="spellStart"/>
      <w:r w:rsidRPr="00E5443B">
        <w:rPr>
          <w:b/>
        </w:rPr>
        <w:t>Vitalism</w:t>
      </w:r>
      <w:proofErr w:type="spellEnd"/>
    </w:p>
    <w:p w:rsidR="001F610F" w:rsidRDefault="001F610F" w:rsidP="00953F23">
      <w:pPr>
        <w:spacing w:after="0" w:line="480" w:lineRule="auto"/>
        <w:contextualSpacing/>
      </w:pPr>
      <w:proofErr w:type="spellStart"/>
      <w:r>
        <w:t>Vitalism</w:t>
      </w:r>
      <w:proofErr w:type="spellEnd"/>
      <w:r>
        <w:t xml:space="preserve"> is a philosophy of life that ascribes a vital principle or animating life-force to the processes of living organisms. Against the assertions of </w:t>
      </w:r>
      <w:r w:rsidRPr="006254D1">
        <w:t>mechanistic thought</w:t>
      </w:r>
      <w:r>
        <w:t xml:space="preserve">, which held that the processes of living organisms could be explained by the chemical or mechanical interaction of their associative parts, </w:t>
      </w:r>
      <w:proofErr w:type="spellStart"/>
      <w:r>
        <w:t>vitalis</w:t>
      </w:r>
      <w:r w:rsidR="00246E03">
        <w:t>t</w:t>
      </w:r>
      <w:proofErr w:type="spellEnd"/>
      <w:r w:rsidR="00246E03">
        <w:t xml:space="preserve"> discourse</w:t>
      </w:r>
      <w:r>
        <w:t xml:space="preserve">, in the seventeenth century, reasserted the ancient and irreducible distinction between living and non-living beings. </w:t>
      </w:r>
      <w:r w:rsidRPr="00286F78">
        <w:t>In the nineteenth century</w:t>
      </w:r>
      <w:r>
        <w:t>,</w:t>
      </w:r>
      <w:r>
        <w:rPr>
          <w:b/>
        </w:rPr>
        <w:t xml:space="preserve"> </w:t>
      </w:r>
      <w:r>
        <w:t xml:space="preserve">the doctrine was given metaphysical expression in the work of Herbert Spencer and later by </w:t>
      </w:r>
      <w:r w:rsidRPr="00BF24A8">
        <w:t>Friedrich</w:t>
      </w:r>
      <w:r>
        <w:t xml:space="preserve"> Nietzsche, </w:t>
      </w:r>
      <w:r w:rsidRPr="00286F78">
        <w:t xml:space="preserve">who </w:t>
      </w:r>
      <w:r w:rsidRPr="001B39F8">
        <w:t>proclaimed</w:t>
      </w:r>
      <w:r>
        <w:t xml:space="preserve"> that art was ‘the great stimulant of life’ (</w:t>
      </w:r>
      <w:r w:rsidR="00380352">
        <w:t xml:space="preserve">Nietzsche </w:t>
      </w:r>
      <w:r w:rsidR="000028D3">
        <w:t>452</w:t>
      </w:r>
      <w:r>
        <w:t>). With a</w:t>
      </w:r>
      <w:r w:rsidR="00246E03">
        <w:t>n</w:t>
      </w:r>
      <w:r>
        <w:t xml:space="preserve"> aesthetic resurgence in the Romantic tradition, exemplified by Mary Shelley’s </w:t>
      </w:r>
      <w:r w:rsidRPr="001B39F8">
        <w:rPr>
          <w:i/>
        </w:rPr>
        <w:t>Frankenstein</w:t>
      </w:r>
      <w:r>
        <w:t xml:space="preserve">, </w:t>
      </w:r>
      <w:proofErr w:type="spellStart"/>
      <w:r>
        <w:t>vitalist</w:t>
      </w:r>
      <w:proofErr w:type="spellEnd"/>
      <w:r>
        <w:t xml:space="preserve"> sensibility was expressed in many modernist forms, from D. H. Lawrence’s pulsating prose of </w:t>
      </w:r>
      <w:r w:rsidR="006560B9">
        <w:t xml:space="preserve">a </w:t>
      </w:r>
      <w:r>
        <w:t xml:space="preserve"> ‘living universe</w:t>
      </w:r>
      <w:r w:rsidR="00953F23">
        <w:t>’</w:t>
      </w:r>
      <w:r w:rsidR="006560B9">
        <w:t xml:space="preserve"> (Lawrence 55</w:t>
      </w:r>
      <w:r w:rsidR="0023247C">
        <w:t>)</w:t>
      </w:r>
      <w:r w:rsidR="006560B9">
        <w:t>,</w:t>
      </w:r>
      <w:r>
        <w:t xml:space="preserve"> to the </w:t>
      </w:r>
      <w:proofErr w:type="spellStart"/>
      <w:r>
        <w:t>colours</w:t>
      </w:r>
      <w:proofErr w:type="spellEnd"/>
      <w:r>
        <w:t xml:space="preserve"> and textures of C</w:t>
      </w:r>
      <w:r w:rsidR="003467A7">
        <w:t>é</w:t>
      </w:r>
      <w:r>
        <w:t xml:space="preserve">zanne’s affective forms and Nietzsche’s Dionysian influence on the images of Otto Dix. It was, however, the </w:t>
      </w:r>
      <w:r>
        <w:rPr>
          <w:i/>
        </w:rPr>
        <w:t xml:space="preserve">élan vital </w:t>
      </w:r>
      <w:r>
        <w:t xml:space="preserve">of Henri Bergson’s philosophy of duration and creative evolution that thrust the </w:t>
      </w:r>
      <w:proofErr w:type="spellStart"/>
      <w:r>
        <w:t>vitalist</w:t>
      </w:r>
      <w:proofErr w:type="spellEnd"/>
      <w:r>
        <w:t xml:space="preserve"> sensibility most powerfully into the twentieth century. His method of ‘philosophical intuition’ for apprehending the true nature of time and uncovering the pulsating ‘intensity’ of a seemingly stable world exerted a broad cultural influence, notably inspiring Italian Futurists F. T. Marinetti and Umberto Boccioni.</w:t>
      </w:r>
    </w:p>
    <w:p w:rsidR="00953F23" w:rsidRPr="00953F23" w:rsidRDefault="00953F23" w:rsidP="00953F23">
      <w:pPr>
        <w:spacing w:after="0" w:line="480" w:lineRule="auto"/>
        <w:contextualSpacing/>
        <w:rPr>
          <w:i/>
        </w:rPr>
      </w:pPr>
      <w:r>
        <w:rPr>
          <w:i/>
        </w:rPr>
        <w:t xml:space="preserve">Christopher </w:t>
      </w:r>
      <w:proofErr w:type="spellStart"/>
      <w:r>
        <w:rPr>
          <w:i/>
        </w:rPr>
        <w:t>Bradd</w:t>
      </w:r>
      <w:proofErr w:type="spellEnd"/>
      <w:r>
        <w:rPr>
          <w:i/>
        </w:rPr>
        <w:t>, York University</w:t>
      </w:r>
    </w:p>
    <w:p w:rsidR="001F610F" w:rsidRDefault="001F610F" w:rsidP="00953F23">
      <w:pPr>
        <w:spacing w:after="0" w:line="480" w:lineRule="auto"/>
        <w:contextualSpacing/>
      </w:pPr>
      <w:r>
        <w:tab/>
      </w:r>
      <w:r>
        <w:tab/>
      </w:r>
    </w:p>
    <w:p w:rsidR="001F610F" w:rsidRPr="001C1C45" w:rsidRDefault="001F610F" w:rsidP="00953F23">
      <w:pPr>
        <w:spacing w:after="0" w:line="480" w:lineRule="auto"/>
        <w:contextualSpacing/>
        <w:rPr>
          <w:rFonts w:cs="Times New Roman"/>
          <w:b/>
        </w:rPr>
      </w:pPr>
      <w:r w:rsidRPr="001C1C45">
        <w:rPr>
          <w:rFonts w:cs="Times New Roman"/>
          <w:b/>
        </w:rPr>
        <w:t>References and Further Reading</w:t>
      </w:r>
    </w:p>
    <w:p w:rsidR="001F610F" w:rsidRDefault="001F610F" w:rsidP="00DF5837">
      <w:pPr>
        <w:spacing w:after="0" w:line="480" w:lineRule="auto"/>
        <w:ind w:firstLine="11"/>
        <w:contextualSpacing/>
      </w:pPr>
      <w:r>
        <w:t xml:space="preserve">Bergson, H. (1907) </w:t>
      </w:r>
      <w:proofErr w:type="spellStart"/>
      <w:r>
        <w:rPr>
          <w:i/>
        </w:rPr>
        <w:t>L’Évolution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créatrice</w:t>
      </w:r>
      <w:proofErr w:type="spellEnd"/>
      <w:r>
        <w:t xml:space="preserve">, </w:t>
      </w:r>
      <w:r w:rsidR="00953F23">
        <w:t xml:space="preserve">trans. </w:t>
      </w:r>
      <w:r>
        <w:t xml:space="preserve">A. Mitchell </w:t>
      </w:r>
      <w:r w:rsidR="00953F23">
        <w:t xml:space="preserve">as </w:t>
      </w:r>
      <w:r>
        <w:rPr>
          <w:i/>
        </w:rPr>
        <w:t>Creative Evolution</w:t>
      </w:r>
      <w:r>
        <w:t>, London: Macmillan</w:t>
      </w:r>
      <w:r w:rsidR="00953F23">
        <w:t>, 1911.</w:t>
      </w:r>
    </w:p>
    <w:p w:rsidR="0023247C" w:rsidRPr="0023247C" w:rsidRDefault="0023247C" w:rsidP="00DF5837">
      <w:pPr>
        <w:spacing w:after="0" w:line="480" w:lineRule="auto"/>
        <w:ind w:firstLine="11"/>
        <w:contextualSpacing/>
      </w:pPr>
      <w:r>
        <w:lastRenderedPageBreak/>
        <w:t xml:space="preserve">Lawrence, D. H. (1928) </w:t>
      </w:r>
      <w:r w:rsidR="00380352">
        <w:t>‘</w:t>
      </w:r>
      <w:r>
        <w:t>John Galsworthy</w:t>
      </w:r>
      <w:r w:rsidR="00380352">
        <w:t>’</w:t>
      </w:r>
      <w:r>
        <w:t xml:space="preserve"> in </w:t>
      </w:r>
      <w:r w:rsidR="00380352">
        <w:t xml:space="preserve">E. </w:t>
      </w:r>
      <w:proofErr w:type="spellStart"/>
      <w:r w:rsidR="00380352">
        <w:t>Rickword</w:t>
      </w:r>
      <w:proofErr w:type="spellEnd"/>
      <w:r w:rsidR="00380352">
        <w:t xml:space="preserve"> (</w:t>
      </w:r>
      <w:proofErr w:type="spellStart"/>
      <w:proofErr w:type="gramStart"/>
      <w:r w:rsidR="00380352">
        <w:t>ed</w:t>
      </w:r>
      <w:proofErr w:type="spellEnd"/>
      <w:proofErr w:type="gramEnd"/>
      <w:r w:rsidR="00380352">
        <w:t xml:space="preserve">) </w:t>
      </w:r>
      <w:proofErr w:type="spellStart"/>
      <w:r>
        <w:rPr>
          <w:i/>
        </w:rPr>
        <w:t>Scrutinies</w:t>
      </w:r>
      <w:proofErr w:type="spellEnd"/>
      <w:r>
        <w:t xml:space="preserve">, London: </w:t>
      </w:r>
      <w:proofErr w:type="spellStart"/>
      <w:r>
        <w:t>Wishart</w:t>
      </w:r>
      <w:proofErr w:type="spellEnd"/>
      <w:r>
        <w:t xml:space="preserve"> &amp; Company.</w:t>
      </w:r>
    </w:p>
    <w:p w:rsidR="001F610F" w:rsidRPr="007442CF" w:rsidRDefault="001F610F" w:rsidP="00DF5837">
      <w:pPr>
        <w:spacing w:after="0" w:line="480" w:lineRule="auto"/>
        <w:ind w:firstLine="11"/>
        <w:contextualSpacing/>
      </w:pPr>
      <w:proofErr w:type="spellStart"/>
      <w:r>
        <w:t>Lofthouse</w:t>
      </w:r>
      <w:proofErr w:type="spellEnd"/>
      <w:r>
        <w:t xml:space="preserve">, R. A. (2005) </w:t>
      </w:r>
      <w:proofErr w:type="spellStart"/>
      <w:r>
        <w:rPr>
          <w:i/>
        </w:rPr>
        <w:t>Vitalism</w:t>
      </w:r>
      <w:proofErr w:type="spellEnd"/>
      <w:r>
        <w:rPr>
          <w:i/>
        </w:rPr>
        <w:t xml:space="preserve"> in Modern Art, c. 1900-1950: Otto Dix, Stanley Spencer, Max Beckmann, and Jacob Epstein</w:t>
      </w:r>
      <w:r>
        <w:t xml:space="preserve">, </w:t>
      </w:r>
      <w:proofErr w:type="spellStart"/>
      <w:r>
        <w:t>Lampeter</w:t>
      </w:r>
      <w:proofErr w:type="spellEnd"/>
      <w:r>
        <w:t xml:space="preserve">: The Edwin </w:t>
      </w:r>
      <w:proofErr w:type="spellStart"/>
      <w:r>
        <w:t>Mellen</w:t>
      </w:r>
      <w:proofErr w:type="spellEnd"/>
      <w:r>
        <w:t xml:space="preserve"> Press.</w:t>
      </w:r>
    </w:p>
    <w:p w:rsidR="001F610F" w:rsidRPr="00A705E0" w:rsidRDefault="001F610F" w:rsidP="00DF5837">
      <w:pPr>
        <w:spacing w:after="0" w:line="480" w:lineRule="auto"/>
        <w:ind w:firstLine="11"/>
        <w:contextualSpacing/>
      </w:pPr>
      <w:r>
        <w:t xml:space="preserve">Marinetti, R. T. (2008) </w:t>
      </w:r>
      <w:r>
        <w:rPr>
          <w:i/>
        </w:rPr>
        <w:t>Critical Writings: New Edition</w:t>
      </w:r>
      <w:r>
        <w:t>, ed. G</w:t>
      </w:r>
      <w:r w:rsidR="001D2A94">
        <w:t>.</w:t>
      </w:r>
      <w:r>
        <w:t xml:space="preserve"> </w:t>
      </w:r>
      <w:proofErr w:type="spellStart"/>
      <w:r>
        <w:t>Berghaus</w:t>
      </w:r>
      <w:proofErr w:type="spellEnd"/>
      <w:r>
        <w:t>, New York: Farrar, Straus and Giroux.</w:t>
      </w:r>
    </w:p>
    <w:p w:rsidR="001F610F" w:rsidRPr="009202B9" w:rsidRDefault="001F610F" w:rsidP="00DF5837">
      <w:pPr>
        <w:spacing w:after="0" w:line="480" w:lineRule="auto"/>
        <w:ind w:firstLine="11"/>
        <w:contextualSpacing/>
      </w:pPr>
      <w:r>
        <w:t xml:space="preserve">Nietzsche, F. (1968)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Will to Power</w:t>
      </w:r>
      <w:r>
        <w:t>, ed. W</w:t>
      </w:r>
      <w:r w:rsidR="001D2A94">
        <w:t>.</w:t>
      </w:r>
      <w:r>
        <w:t xml:space="preserve"> Kaufmann, New York: Vintage Books.</w:t>
      </w:r>
    </w:p>
    <w:p w:rsidR="001F610F" w:rsidRPr="00FC7D7C" w:rsidRDefault="001F610F" w:rsidP="00DF5837">
      <w:pPr>
        <w:spacing w:after="0" w:line="480" w:lineRule="auto"/>
        <w:ind w:firstLine="11"/>
        <w:contextualSpacing/>
      </w:pPr>
      <w:r>
        <w:t xml:space="preserve">Shelley, M. (1818) </w:t>
      </w:r>
      <w:r>
        <w:rPr>
          <w:i/>
        </w:rPr>
        <w:t>Frankenstein; or, The Modern Prometheus,</w:t>
      </w:r>
      <w:r>
        <w:t xml:space="preserve"> London: </w:t>
      </w:r>
      <w:proofErr w:type="spellStart"/>
      <w:r>
        <w:t>Backington</w:t>
      </w:r>
      <w:proofErr w:type="spellEnd"/>
      <w:r>
        <w:t xml:space="preserve">, Hughes, </w:t>
      </w:r>
      <w:proofErr w:type="spellStart"/>
      <w:r>
        <w:t>Mavor</w:t>
      </w:r>
      <w:proofErr w:type="spellEnd"/>
      <w:r>
        <w:t xml:space="preserve"> and Jones</w:t>
      </w:r>
      <w:r>
        <w:rPr>
          <w:i/>
        </w:rPr>
        <w:t>.</w:t>
      </w:r>
      <w:r>
        <w:t xml:space="preserve"> </w:t>
      </w:r>
    </w:p>
    <w:p w:rsidR="0006163A" w:rsidRDefault="0006163A" w:rsidP="00953F23">
      <w:pPr>
        <w:spacing w:after="0" w:line="480" w:lineRule="auto"/>
        <w:contextualSpacing/>
      </w:pPr>
    </w:p>
    <w:sectPr w:rsidR="0006163A" w:rsidSect="00953F23">
      <w:pgSz w:w="12240" w:h="15840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10F"/>
    <w:rsid w:val="000028D3"/>
    <w:rsid w:val="0006163A"/>
    <w:rsid w:val="001D2A94"/>
    <w:rsid w:val="001F610F"/>
    <w:rsid w:val="0023247C"/>
    <w:rsid w:val="00246E03"/>
    <w:rsid w:val="003467A7"/>
    <w:rsid w:val="00380352"/>
    <w:rsid w:val="006560B9"/>
    <w:rsid w:val="00844B47"/>
    <w:rsid w:val="00953F23"/>
    <w:rsid w:val="009D7AD1"/>
    <w:rsid w:val="00D74BE3"/>
    <w:rsid w:val="00DF5837"/>
    <w:rsid w:val="00F61DCE"/>
    <w:rsid w:val="00FF7E8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0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2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74B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B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BE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B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BE3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10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F2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2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74B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B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BE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B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BE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Wilfred Laurier University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cathy martha waszczuk</cp:lastModifiedBy>
  <cp:revision>2</cp:revision>
  <cp:lastPrinted>2012-08-31T16:59:00Z</cp:lastPrinted>
  <dcterms:created xsi:type="dcterms:W3CDTF">2012-09-22T00:11:00Z</dcterms:created>
  <dcterms:modified xsi:type="dcterms:W3CDTF">2012-09-22T00:11:00Z</dcterms:modified>
</cp:coreProperties>
</file>