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6E9CC"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sidRPr="00094A8A">
        <w:rPr>
          <w:i/>
          <w:lang w:val="en-GB"/>
        </w:rPr>
        <w:fldChar w:fldCharType="begin"/>
      </w:r>
      <w:r w:rsidRPr="00094A8A">
        <w:rPr>
          <w:i/>
        </w:rPr>
        <w:instrText xml:space="preserve"> SEQ CHAPTER \h \r 1</w:instrText>
      </w:r>
      <w:r w:rsidRPr="00094A8A">
        <w:rPr>
          <w:i/>
        </w:rPr>
        <w:fldChar w:fldCharType="end"/>
      </w:r>
      <w:r w:rsidRPr="00094A8A">
        <w:rPr>
          <w:b/>
          <w:i/>
          <w:lang w:val="en-GB"/>
        </w:rPr>
        <w:t>Parade</w:t>
      </w:r>
      <w:r>
        <w:rPr>
          <w:b/>
          <w:lang w:val="en-GB"/>
        </w:rPr>
        <w:t xml:space="preserve"> (Paris, </w:t>
      </w:r>
      <w:proofErr w:type="spellStart"/>
      <w:r>
        <w:rPr>
          <w:b/>
          <w:lang w:val="en-GB"/>
        </w:rPr>
        <w:t>Théâtre</w:t>
      </w:r>
      <w:proofErr w:type="spellEnd"/>
      <w:r>
        <w:rPr>
          <w:b/>
          <w:lang w:val="en-GB"/>
        </w:rPr>
        <w:t xml:space="preserve"> du </w:t>
      </w:r>
      <w:proofErr w:type="spellStart"/>
      <w:r>
        <w:rPr>
          <w:b/>
          <w:lang w:val="en-GB"/>
        </w:rPr>
        <w:t>Châtelet</w:t>
      </w:r>
      <w:proofErr w:type="spellEnd"/>
      <w:r>
        <w:rPr>
          <w:b/>
          <w:lang w:val="en-GB"/>
        </w:rPr>
        <w:t>, 18 May 1917)</w:t>
      </w:r>
      <w:r>
        <w:rPr>
          <w:lang w:val="en-GB"/>
        </w:rPr>
        <w:t xml:space="preserve"> </w:t>
      </w:r>
    </w:p>
    <w:p w14:paraId="79042F37"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09457B4"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45F55EA5"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lang w:val="en-GB"/>
        </w:rPr>
      </w:pPr>
      <w:r>
        <w:rPr>
          <w:b/>
          <w:lang w:val="en-GB"/>
        </w:rPr>
        <w:t>Summary</w:t>
      </w:r>
    </w:p>
    <w:p w14:paraId="713CBA01" w14:textId="7B5C7F53"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gramStart"/>
      <w:r>
        <w:rPr>
          <w:lang w:val="en-GB"/>
        </w:rPr>
        <w:t xml:space="preserve">A one-act ballet on the theme of a fairground sideshow, </w:t>
      </w:r>
      <w:r>
        <w:rPr>
          <w:i/>
          <w:lang w:val="en-GB"/>
        </w:rPr>
        <w:t>Parade</w:t>
      </w:r>
      <w:r>
        <w:rPr>
          <w:lang w:val="en-GB"/>
        </w:rPr>
        <w:t xml:space="preserve"> was produced by Serge Diaghilev’s Ballets </w:t>
      </w:r>
      <w:proofErr w:type="spellStart"/>
      <w:r>
        <w:rPr>
          <w:lang w:val="en-GB"/>
        </w:rPr>
        <w:t>Russes</w:t>
      </w:r>
      <w:proofErr w:type="spellEnd"/>
      <w:r>
        <w:rPr>
          <w:lang w:val="en-GB"/>
        </w:rPr>
        <w:t xml:space="preserve">, premiering on 18 May 1917 at the </w:t>
      </w:r>
      <w:proofErr w:type="spellStart"/>
      <w:r>
        <w:rPr>
          <w:lang w:val="en-GB"/>
        </w:rPr>
        <w:t>Théâtre</w:t>
      </w:r>
      <w:proofErr w:type="spellEnd"/>
      <w:r>
        <w:rPr>
          <w:lang w:val="en-GB"/>
        </w:rPr>
        <w:t xml:space="preserve"> du </w:t>
      </w:r>
      <w:proofErr w:type="spellStart"/>
      <w:r>
        <w:rPr>
          <w:lang w:val="en-GB"/>
        </w:rPr>
        <w:t>Châtelet</w:t>
      </w:r>
      <w:proofErr w:type="spellEnd"/>
      <w:r>
        <w:rPr>
          <w:lang w:val="en-GB"/>
        </w:rPr>
        <w:t>, Paris</w:t>
      </w:r>
      <w:proofErr w:type="gramEnd"/>
      <w:r>
        <w:rPr>
          <w:lang w:val="en-GB"/>
        </w:rPr>
        <w:t xml:space="preserve">. </w:t>
      </w:r>
      <w:r>
        <w:rPr>
          <w:i/>
          <w:lang w:val="en-GB"/>
        </w:rPr>
        <w:t>Parade</w:t>
      </w:r>
      <w:r>
        <w:rPr>
          <w:lang w:val="en-GB"/>
        </w:rPr>
        <w:t xml:space="preserve"> marked a turning</w:t>
      </w:r>
      <w:r w:rsidR="00094A8A">
        <w:rPr>
          <w:lang w:val="en-GB"/>
        </w:rPr>
        <w:t xml:space="preserve"> </w:t>
      </w:r>
      <w:r>
        <w:rPr>
          <w:lang w:val="en-GB"/>
        </w:rPr>
        <w:t xml:space="preserve">point </w:t>
      </w:r>
      <w:r>
        <w:rPr>
          <w:lang w:val="en-GB"/>
        </w:rPr>
        <w:t xml:space="preserve">as the company moved from the Orientalism of ballets such as </w:t>
      </w:r>
      <w:proofErr w:type="spellStart"/>
      <w:r>
        <w:rPr>
          <w:i/>
          <w:lang w:val="en-GB"/>
        </w:rPr>
        <w:t>Schéhérazade</w:t>
      </w:r>
      <w:proofErr w:type="spellEnd"/>
      <w:r>
        <w:rPr>
          <w:lang w:val="en-GB"/>
        </w:rPr>
        <w:t xml:space="preserve"> (1910) towards the modernist experimentation visible in </w:t>
      </w:r>
      <w:r w:rsidR="00094A8A" w:rsidRPr="00094A8A">
        <w:rPr>
          <w:i/>
          <w:lang w:val="en-GB"/>
        </w:rPr>
        <w:t>L</w:t>
      </w:r>
      <w:r w:rsidR="00094A8A">
        <w:rPr>
          <w:i/>
          <w:lang w:val="en-GB"/>
        </w:rPr>
        <w:t xml:space="preserve">e </w:t>
      </w:r>
      <w:proofErr w:type="spellStart"/>
      <w:r w:rsidR="00094A8A">
        <w:rPr>
          <w:i/>
          <w:lang w:val="en-GB"/>
        </w:rPr>
        <w:t>S</w:t>
      </w:r>
      <w:r w:rsidR="00094A8A" w:rsidRPr="00094A8A">
        <w:rPr>
          <w:i/>
          <w:lang w:val="en-GB"/>
        </w:rPr>
        <w:t>acre</w:t>
      </w:r>
      <w:proofErr w:type="spellEnd"/>
      <w:r w:rsidR="00094A8A" w:rsidRPr="00094A8A">
        <w:rPr>
          <w:i/>
          <w:lang w:val="en-GB"/>
        </w:rPr>
        <w:t xml:space="preserve"> du </w:t>
      </w:r>
      <w:proofErr w:type="spellStart"/>
      <w:r w:rsidR="00094A8A">
        <w:rPr>
          <w:i/>
          <w:lang w:val="en-GB"/>
        </w:rPr>
        <w:t>P</w:t>
      </w:r>
      <w:r w:rsidR="00094A8A" w:rsidRPr="00094A8A">
        <w:rPr>
          <w:i/>
          <w:lang w:val="en-GB"/>
        </w:rPr>
        <w:t>rintemps</w:t>
      </w:r>
      <w:proofErr w:type="spellEnd"/>
      <w:r w:rsidR="00094A8A">
        <w:rPr>
          <w:lang w:val="en-GB"/>
        </w:rPr>
        <w:t xml:space="preserve"> (</w:t>
      </w:r>
      <w:r>
        <w:rPr>
          <w:i/>
          <w:lang w:val="en-GB"/>
        </w:rPr>
        <w:t>The Rite of Spring</w:t>
      </w:r>
      <w:proofErr w:type="gramStart"/>
      <w:r w:rsidR="00094A8A">
        <w:rPr>
          <w:lang w:val="en-GB"/>
        </w:rPr>
        <w:t>,</w:t>
      </w:r>
      <w:r>
        <w:rPr>
          <w:lang w:val="en-GB"/>
        </w:rPr>
        <w:t>1913</w:t>
      </w:r>
      <w:proofErr w:type="gramEnd"/>
      <w:r>
        <w:rPr>
          <w:lang w:val="en-GB"/>
        </w:rPr>
        <w:t xml:space="preserve">), though </w:t>
      </w:r>
      <w:r>
        <w:rPr>
          <w:lang w:val="en-GB"/>
        </w:rPr>
        <w:t xml:space="preserve">the extent of the ballet’s </w:t>
      </w:r>
      <w:proofErr w:type="spellStart"/>
      <w:r>
        <w:rPr>
          <w:lang w:val="en-GB"/>
        </w:rPr>
        <w:t>vanguardism</w:t>
      </w:r>
      <w:proofErr w:type="spellEnd"/>
      <w:r>
        <w:rPr>
          <w:lang w:val="en-GB"/>
        </w:rPr>
        <w:t xml:space="preserve"> has been debated since its premiere.  According to Jean Cocteau, the poet who wrote the ballet’s libretto, the impetus for </w:t>
      </w:r>
      <w:r>
        <w:rPr>
          <w:i/>
          <w:lang w:val="en-GB"/>
        </w:rPr>
        <w:t>Parade</w:t>
      </w:r>
      <w:r>
        <w:rPr>
          <w:lang w:val="en-GB"/>
        </w:rPr>
        <w:t xml:space="preserve"> originated in 1912 with Diaghilev’s command, ‘Astonish me!’  To fulfil Diaghilev’s mandate, Cocteau assembled a production team drawn from the Parisian avant-garde: for the score, he recruited the composer Erik Satie, known for experimental piano compositions such as </w:t>
      </w:r>
      <w:proofErr w:type="spellStart"/>
      <w:r>
        <w:rPr>
          <w:i/>
          <w:lang w:val="en-GB"/>
        </w:rPr>
        <w:t>Gymnopédies</w:t>
      </w:r>
      <w:proofErr w:type="spellEnd"/>
      <w:r>
        <w:rPr>
          <w:lang w:val="en-GB"/>
        </w:rPr>
        <w:t xml:space="preserve"> (1888) and for cabaret songs performed at the Montmartre cabaret Le Chat Noir.  In </w:t>
      </w:r>
      <w:r>
        <w:rPr>
          <w:lang w:val="en-GB"/>
        </w:rPr>
        <w:t>1916</w:t>
      </w:r>
      <w:r w:rsidR="007B0943">
        <w:rPr>
          <w:lang w:val="en-GB"/>
        </w:rPr>
        <w:t>,</w:t>
      </w:r>
      <w:r>
        <w:rPr>
          <w:lang w:val="en-GB"/>
        </w:rPr>
        <w:t xml:space="preserve"> Cocteau </w:t>
      </w:r>
      <w:r>
        <w:rPr>
          <w:lang w:val="en-GB"/>
        </w:rPr>
        <w:t xml:space="preserve">secured the participation of Pablo Picasso, a painter associated with the Cubist movement of the early 1910s, to design the overture curtain, set and costumes. Working with the choreographer </w:t>
      </w:r>
      <w:proofErr w:type="spellStart"/>
      <w:r>
        <w:rPr>
          <w:lang w:val="en-GB"/>
        </w:rPr>
        <w:t>Léonide</w:t>
      </w:r>
      <w:proofErr w:type="spellEnd"/>
      <w:r>
        <w:rPr>
          <w:lang w:val="en-GB"/>
        </w:rPr>
        <w:t xml:space="preserve"> Massine, this group produced a ballet-pantomime featuring characters familiar from the circus, variety shows and cinema.  Mixing various forms of art and entertainment, </w:t>
      </w:r>
      <w:r>
        <w:rPr>
          <w:i/>
          <w:lang w:val="en-GB"/>
        </w:rPr>
        <w:t>Parade</w:t>
      </w:r>
      <w:r>
        <w:rPr>
          <w:lang w:val="en-GB"/>
        </w:rPr>
        <w:t xml:space="preserve"> used dance to explore the unstable relationship between elite and popular culture.</w:t>
      </w:r>
    </w:p>
    <w:p w14:paraId="41B89EF1"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62B650A6" w14:textId="20215E65" w:rsidR="007F09F6" w:rsidRDefault="007B09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Pr>
          <w:lang w:val="en-GB"/>
        </w:rPr>
        <w:t>Contrbution</w:t>
      </w:r>
      <w:proofErr w:type="spellEnd"/>
      <w:r>
        <w:rPr>
          <w:lang w:val="en-GB"/>
        </w:rPr>
        <w:t xml:space="preserve"> to Modernism</w:t>
      </w:r>
    </w:p>
    <w:p w14:paraId="0740ECFD"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Cocteau’s concept for </w:t>
      </w:r>
      <w:r>
        <w:rPr>
          <w:i/>
          <w:lang w:val="en-GB"/>
        </w:rPr>
        <w:t>Parade</w:t>
      </w:r>
      <w:r>
        <w:rPr>
          <w:lang w:val="en-GB"/>
        </w:rPr>
        <w:t xml:space="preserve">, which revolved around the confrontation of high art with popular culture and </w:t>
      </w:r>
      <w:r>
        <w:rPr>
          <w:lang w:val="en-GB"/>
        </w:rPr>
        <w:t>of the avant-garde work with a mystified public, was rooted in the themes of nineteenth-century Symbolism.  His ideas can be</w:t>
      </w:r>
      <w:r w:rsidR="005C137E">
        <w:rPr>
          <w:lang w:val="en-GB"/>
        </w:rPr>
        <w:t xml:space="preserve"> traced through several unrealis</w:t>
      </w:r>
      <w:r>
        <w:rPr>
          <w:lang w:val="en-GB"/>
        </w:rPr>
        <w:t xml:space="preserve">ed theatrical productions in the preceding years, including an adaptation of Shakespeare’s </w:t>
      </w:r>
      <w:r>
        <w:rPr>
          <w:i/>
          <w:lang w:val="en-GB"/>
        </w:rPr>
        <w:t>A Midsummer Night’s Dream</w:t>
      </w:r>
      <w:r>
        <w:rPr>
          <w:lang w:val="en-GB"/>
        </w:rPr>
        <w:t xml:space="preserve"> to be performed at the </w:t>
      </w:r>
      <w:proofErr w:type="spellStart"/>
      <w:r>
        <w:rPr>
          <w:lang w:val="en-GB"/>
        </w:rPr>
        <w:t>Médrano</w:t>
      </w:r>
      <w:proofErr w:type="spellEnd"/>
      <w:r>
        <w:rPr>
          <w:lang w:val="en-GB"/>
        </w:rPr>
        <w:t xml:space="preserve"> Circus in Paris and a ballet entitled </w:t>
      </w:r>
      <w:r>
        <w:rPr>
          <w:i/>
          <w:lang w:val="en-GB"/>
        </w:rPr>
        <w:t>David</w:t>
      </w:r>
      <w:r>
        <w:rPr>
          <w:lang w:val="en-GB"/>
        </w:rPr>
        <w:t xml:space="preserve">, a fairground staging of the biblical story.  Cocteau’s interest in engaging Stravinsky for the latter project signals a conceptual link with the popular Ballets </w:t>
      </w:r>
      <w:proofErr w:type="spellStart"/>
      <w:r>
        <w:rPr>
          <w:lang w:val="en-GB"/>
        </w:rPr>
        <w:t>Russes</w:t>
      </w:r>
      <w:proofErr w:type="spellEnd"/>
      <w:r>
        <w:rPr>
          <w:lang w:val="en-GB"/>
        </w:rPr>
        <w:t xml:space="preserve"> work </w:t>
      </w:r>
      <w:proofErr w:type="spellStart"/>
      <w:r>
        <w:rPr>
          <w:i/>
          <w:lang w:val="en-GB"/>
        </w:rPr>
        <w:t>Petrouchka</w:t>
      </w:r>
      <w:proofErr w:type="spellEnd"/>
      <w:r>
        <w:rPr>
          <w:lang w:val="en-GB"/>
        </w:rPr>
        <w:t xml:space="preserve"> (1911).  Choreographed by Michel Fokine, with a score by Stravinsky and designs by </w:t>
      </w:r>
      <w:proofErr w:type="spellStart"/>
      <w:r>
        <w:rPr>
          <w:lang w:val="en-GB"/>
        </w:rPr>
        <w:t>Alexandre</w:t>
      </w:r>
      <w:proofErr w:type="spellEnd"/>
      <w:r>
        <w:rPr>
          <w:lang w:val="en-GB"/>
        </w:rPr>
        <w:t xml:space="preserve"> </w:t>
      </w:r>
      <w:proofErr w:type="spellStart"/>
      <w:r>
        <w:rPr>
          <w:lang w:val="en-GB"/>
        </w:rPr>
        <w:t>Benois</w:t>
      </w:r>
      <w:proofErr w:type="spellEnd"/>
      <w:r>
        <w:rPr>
          <w:lang w:val="en-GB"/>
        </w:rPr>
        <w:t xml:space="preserve">, </w:t>
      </w:r>
      <w:proofErr w:type="spellStart"/>
      <w:r>
        <w:rPr>
          <w:i/>
          <w:lang w:val="en-GB"/>
        </w:rPr>
        <w:t>Petrouchka</w:t>
      </w:r>
      <w:proofErr w:type="spellEnd"/>
      <w:r>
        <w:rPr>
          <w:lang w:val="en-GB"/>
        </w:rPr>
        <w:t xml:space="preserve"> centred on three puppets – a Ballerina, a Moor and </w:t>
      </w:r>
      <w:proofErr w:type="spellStart"/>
      <w:r>
        <w:rPr>
          <w:lang w:val="en-GB"/>
        </w:rPr>
        <w:t>Petrouchka</w:t>
      </w:r>
      <w:proofErr w:type="spellEnd"/>
      <w:r>
        <w:rPr>
          <w:lang w:val="en-GB"/>
        </w:rPr>
        <w:t xml:space="preserve">, a Russian equivalent of Punch or </w:t>
      </w:r>
      <w:proofErr w:type="spellStart"/>
      <w:r>
        <w:rPr>
          <w:lang w:val="en-GB"/>
        </w:rPr>
        <w:t>Pierrot</w:t>
      </w:r>
      <w:proofErr w:type="spellEnd"/>
      <w:r>
        <w:rPr>
          <w:lang w:val="en-GB"/>
        </w:rPr>
        <w:t xml:space="preserve"> – who are enslaved by a cruel Magician and forced to perform in his carnival booth. </w:t>
      </w:r>
    </w:p>
    <w:p w14:paraId="60D062FA" w14:textId="072D99D4"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The scenario for </w:t>
      </w:r>
      <w:r>
        <w:rPr>
          <w:i/>
          <w:lang w:val="en-GB"/>
        </w:rPr>
        <w:t>Parade</w:t>
      </w:r>
      <w:r>
        <w:rPr>
          <w:lang w:val="en-GB"/>
        </w:rPr>
        <w:t xml:space="preserve"> solidified in 1916 as Cocteau solicited the collaboration of Satie and Picasso on the production.  The poet envisioned a burlesque sideshow at a Paris fairground featuring three acts:  a Chinese Conjurer akin to vaudeville magicians such as the blackface performer Chung Ling </w:t>
      </w:r>
      <w:proofErr w:type="spellStart"/>
      <w:r>
        <w:rPr>
          <w:lang w:val="en-GB"/>
        </w:rPr>
        <w:t>Soo</w:t>
      </w:r>
      <w:proofErr w:type="spellEnd"/>
      <w:r>
        <w:rPr>
          <w:lang w:val="en-GB"/>
        </w:rPr>
        <w:t xml:space="preserve">; a Little American Girl derived from </w:t>
      </w:r>
      <w:proofErr w:type="spellStart"/>
      <w:r>
        <w:rPr>
          <w:lang w:val="en-GB"/>
        </w:rPr>
        <w:t>ingenues</w:t>
      </w:r>
      <w:proofErr w:type="spellEnd"/>
      <w:r>
        <w:rPr>
          <w:lang w:val="en-GB"/>
        </w:rPr>
        <w:t xml:space="preserve"> of stage and screen, including Mary Pickford and Pearl White; and a pair of Acrobats.  In addition to musical accompaniment, the audience would hear the shouts of offstage carnival barkers attempting to lure the audience into an imaginary, invisible circus tent – efforts </w:t>
      </w:r>
      <w:proofErr w:type="gramStart"/>
      <w:r>
        <w:rPr>
          <w:lang w:val="en-GB"/>
        </w:rPr>
        <w:t>which</w:t>
      </w:r>
      <w:proofErr w:type="gramEnd"/>
      <w:r>
        <w:rPr>
          <w:lang w:val="en-GB"/>
        </w:rPr>
        <w:t xml:space="preserve"> ultimately would end in failure.  As critics noted at the time, this narrative placed the Ballets </w:t>
      </w:r>
      <w:proofErr w:type="spellStart"/>
      <w:r>
        <w:rPr>
          <w:lang w:val="en-GB"/>
        </w:rPr>
        <w:t>Russes</w:t>
      </w:r>
      <w:proofErr w:type="spellEnd"/>
      <w:r>
        <w:rPr>
          <w:lang w:val="en-GB"/>
        </w:rPr>
        <w:t xml:space="preserve">’ audience in the position of the </w:t>
      </w:r>
      <w:r w:rsidRPr="00187972">
        <w:rPr>
          <w:i/>
          <w:lang w:val="en-GB"/>
        </w:rPr>
        <w:t>parade</w:t>
      </w:r>
      <w:r>
        <w:rPr>
          <w:lang w:val="en-GB"/>
        </w:rPr>
        <w:t xml:space="preserve">’s viewers, blurring the boundary between onstage fiction and offstage reality. </w:t>
      </w:r>
      <w:r>
        <w:rPr>
          <w:color w:val="FF0000"/>
          <w:lang w:val="en-GB"/>
        </w:rPr>
        <w:t xml:space="preserve"> </w:t>
      </w:r>
    </w:p>
    <w:p w14:paraId="3571EC15"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6E7AC49B" w14:textId="16615A3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lastRenderedPageBreak/>
        <w:t xml:space="preserve">When Picasso signed on as </w:t>
      </w:r>
      <w:r>
        <w:rPr>
          <w:i/>
          <w:lang w:val="en-GB"/>
        </w:rPr>
        <w:t>Parade</w:t>
      </w:r>
      <w:r>
        <w:rPr>
          <w:lang w:val="en-GB"/>
        </w:rPr>
        <w:t xml:space="preserve">’s designer, </w:t>
      </w:r>
      <w:r>
        <w:rPr>
          <w:lang w:val="en-GB"/>
        </w:rPr>
        <w:t xml:space="preserve">he altered </w:t>
      </w:r>
      <w:r w:rsidR="00AD7DE7">
        <w:rPr>
          <w:lang w:val="en-GB"/>
        </w:rPr>
        <w:t xml:space="preserve">the ballet’s </w:t>
      </w:r>
      <w:r>
        <w:rPr>
          <w:lang w:val="en-GB"/>
        </w:rPr>
        <w:t xml:space="preserve">scenario and thematic emphasis: he convinced Diaghilev to replace the off-stage barkers’ voices with three staged Managers who alternated with Cocteau’s three original </w:t>
      </w:r>
      <w:r w:rsidRPr="00292744">
        <w:rPr>
          <w:i/>
          <w:lang w:val="en-GB"/>
        </w:rPr>
        <w:t>parade</w:t>
      </w:r>
      <w:r>
        <w:rPr>
          <w:lang w:val="en-GB"/>
        </w:rPr>
        <w:t xml:space="preserve"> </w:t>
      </w:r>
      <w:r>
        <w:rPr>
          <w:lang w:val="en-GB"/>
        </w:rPr>
        <w:t xml:space="preserve">acts.  In several of Picasso’s sketches, these characters resemble sandwich men: figures wearing billboards suspended from their shoulders, a common form of walking advertisement. </w:t>
      </w:r>
      <w:r>
        <w:rPr>
          <w:color w:val="FF0000"/>
          <w:lang w:val="en-GB"/>
        </w:rPr>
        <w:t xml:space="preserve"> </w:t>
      </w:r>
      <w:r>
        <w:rPr>
          <w:lang w:val="en-GB"/>
        </w:rPr>
        <w:t>Eventually, this motif developed into over-life-size papier-mâché costumes for the ballet’s three Managers: a pipe-smoking, tuxedoed French Manager; an American Manager laden with fragmented skyscrapers; and a ‘Negro’ Manager on horseback, changed at the last minute to a performing horse.</w:t>
      </w:r>
      <w:r>
        <w:rPr>
          <w:color w:val="FF0000"/>
          <w:lang w:val="en-GB"/>
        </w:rPr>
        <w:t xml:space="preserve"> </w:t>
      </w:r>
      <w:r>
        <w:rPr>
          <w:lang w:val="en-GB"/>
        </w:rPr>
        <w:t xml:space="preserve">The disjunction between these Cubistically-rendered characters and the more mundane costumes for the </w:t>
      </w:r>
      <w:r>
        <w:rPr>
          <w:i/>
          <w:lang w:val="en-GB"/>
        </w:rPr>
        <w:t>parade</w:t>
      </w:r>
      <w:r>
        <w:rPr>
          <w:lang w:val="en-GB"/>
        </w:rPr>
        <w:t xml:space="preserve"> acts echoed the contrast between the naturalistic overture curtain, a pastoral image of picnicking </w:t>
      </w:r>
      <w:r>
        <w:rPr>
          <w:i/>
          <w:lang w:val="en-GB"/>
        </w:rPr>
        <w:t>commedia</w:t>
      </w:r>
      <w:r>
        <w:rPr>
          <w:lang w:val="en-GB"/>
        </w:rPr>
        <w:t xml:space="preserve"> performers, and the set, a Cubist-inflected cityscape. Satie and Massine’s contributions followed a similar format: </w:t>
      </w:r>
      <w:r>
        <w:rPr>
          <w:i/>
          <w:lang w:val="en-GB"/>
        </w:rPr>
        <w:t>Parade</w:t>
      </w:r>
      <w:r>
        <w:rPr>
          <w:lang w:val="en-GB"/>
        </w:rPr>
        <w:t xml:space="preserve">’s score juxtaposed a solemn fugue in the overture with march, ragtime and waltz music, and the choreography combined pantomime, a jig and a balletic pas de </w:t>
      </w:r>
      <w:proofErr w:type="spellStart"/>
      <w:r>
        <w:rPr>
          <w:lang w:val="en-GB"/>
        </w:rPr>
        <w:t>deux</w:t>
      </w:r>
      <w:proofErr w:type="spellEnd"/>
      <w:r>
        <w:rPr>
          <w:lang w:val="en-GB"/>
        </w:rPr>
        <w:t>.  The resulting fusion of high art and lowbrow entertainment proved far less shocking than Cocteau had hoped.</w:t>
      </w:r>
    </w:p>
    <w:p w14:paraId="76D56C7C"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74AFCCC0"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b/>
          <w:lang w:val="en-GB"/>
        </w:rPr>
        <w:t>Critical Reception</w:t>
      </w:r>
    </w:p>
    <w:p w14:paraId="174EDDC2"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Critical debates about </w:t>
      </w:r>
      <w:r>
        <w:rPr>
          <w:i/>
          <w:lang w:val="en-GB"/>
        </w:rPr>
        <w:t>Parade</w:t>
      </w:r>
      <w:r>
        <w:rPr>
          <w:lang w:val="en-GB"/>
        </w:rPr>
        <w:t xml:space="preserve"> initially focussed on its aesthetic qualities.  Touted as a daring Cubist experiment in the press leading up to its premiere, the ballet’s avant-garde credentials were challenged by several reviewers. Recent scholarship relates such aesthetic questions to broader political and cultural context</w:t>
      </w:r>
      <w:r w:rsidR="00A52426">
        <w:rPr>
          <w:lang w:val="en-GB"/>
        </w:rPr>
        <w:t>s.  One interpretation, emphasis</w:t>
      </w:r>
      <w:r>
        <w:rPr>
          <w:lang w:val="en-GB"/>
        </w:rPr>
        <w:t xml:space="preserve">ing the ballet’s traditional elements, situates </w:t>
      </w:r>
      <w:r>
        <w:rPr>
          <w:i/>
          <w:lang w:val="en-GB"/>
        </w:rPr>
        <w:t>Parade</w:t>
      </w:r>
      <w:r>
        <w:rPr>
          <w:lang w:val="en-GB"/>
        </w:rPr>
        <w:t xml:space="preserve"> within an increasingly conservative, nationalistic atmosphere intensified by the First World War – noting as evidence Cocteau’s involvement in the jingoistic weekly newspaper </w:t>
      </w:r>
      <w:r>
        <w:rPr>
          <w:i/>
          <w:lang w:val="en-GB"/>
        </w:rPr>
        <w:t>Le Mot</w:t>
      </w:r>
      <w:r>
        <w:rPr>
          <w:lang w:val="en-GB"/>
        </w:rPr>
        <w:t xml:space="preserve">; the Latinate theme of Picasso’s curtain, in line with his Neoclassical works of the late 1910s; and the organisation of </w:t>
      </w:r>
      <w:r>
        <w:rPr>
          <w:i/>
          <w:lang w:val="en-GB"/>
        </w:rPr>
        <w:t>Parade</w:t>
      </w:r>
      <w:r>
        <w:rPr>
          <w:lang w:val="en-GB"/>
        </w:rPr>
        <w:t>’s premiere as a benefit for wounded French veterans.</w:t>
      </w:r>
    </w:p>
    <w:p w14:paraId="479E26A1"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193CCF73"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Another approach, which stresses the ballet’s popular references, views </w:t>
      </w:r>
      <w:r>
        <w:rPr>
          <w:i/>
          <w:lang w:val="en-GB"/>
        </w:rPr>
        <w:t>Parade</w:t>
      </w:r>
      <w:r>
        <w:rPr>
          <w:lang w:val="en-GB"/>
        </w:rPr>
        <w:t xml:space="preserve"> as a self-conscious commentary on the public reception of modernism, characteristic of a complex dynamic in which modern art draws on the materials and strategies of mass culture, and vice-versa.  Dance, a medium then undergoing a dramatic shift in status relative to the other arts, played a key role in bridging this divide.  Associated in the late nineteenth century with lowbrow entertainment, dance came to be viewed as a form of high art during the modernist period – a process the Ballets </w:t>
      </w:r>
      <w:proofErr w:type="spellStart"/>
      <w:r>
        <w:rPr>
          <w:lang w:val="en-GB"/>
        </w:rPr>
        <w:t>Russes</w:t>
      </w:r>
      <w:proofErr w:type="spellEnd"/>
      <w:r>
        <w:rPr>
          <w:lang w:val="en-GB"/>
        </w:rPr>
        <w:t xml:space="preserve"> helped to initiate.  </w:t>
      </w:r>
      <w:r>
        <w:rPr>
          <w:i/>
          <w:lang w:val="en-GB"/>
        </w:rPr>
        <w:t>Parade</w:t>
      </w:r>
      <w:r>
        <w:rPr>
          <w:lang w:val="en-GB"/>
        </w:rPr>
        <w:t xml:space="preserve"> invoked both the highbrow and popular connotations of dance as well as film, another genre referenced in the contributions of Picasso, Satie and Massine.  Combining dance and film onstage with characters who straddled virtual and real experience, </w:t>
      </w:r>
      <w:r>
        <w:rPr>
          <w:i/>
          <w:lang w:val="en-GB"/>
        </w:rPr>
        <w:t>Parade</w:t>
      </w:r>
      <w:r>
        <w:rPr>
          <w:lang w:val="en-GB"/>
        </w:rPr>
        <w:t xml:space="preserve"> raised questions about the status of the body in the machine age.</w:t>
      </w:r>
    </w:p>
    <w:p w14:paraId="4CEF23E7"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0D412672"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b/>
          <w:lang w:val="en-GB"/>
        </w:rPr>
        <w:t>References and Further Reading</w:t>
      </w:r>
    </w:p>
    <w:p w14:paraId="176C8882" w14:textId="6E263F3C"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Bellow, J. (2013) </w:t>
      </w:r>
      <w:r>
        <w:rPr>
          <w:i/>
          <w:lang w:val="en-GB"/>
        </w:rPr>
        <w:t xml:space="preserve">Modernism on Stage: The Ballets </w:t>
      </w:r>
      <w:proofErr w:type="spellStart"/>
      <w:r>
        <w:rPr>
          <w:i/>
          <w:lang w:val="en-GB"/>
        </w:rPr>
        <w:t>Russes</w:t>
      </w:r>
      <w:proofErr w:type="spellEnd"/>
      <w:r>
        <w:rPr>
          <w:i/>
          <w:lang w:val="en-GB"/>
        </w:rPr>
        <w:t xml:space="preserve"> and the Parisian Avant-</w:t>
      </w:r>
      <w:r w:rsidRPr="000F31EB">
        <w:rPr>
          <w:lang w:val="en-GB"/>
        </w:rPr>
        <w:t>Garde</w:t>
      </w:r>
      <w:r w:rsidR="000F31EB">
        <w:rPr>
          <w:lang w:val="en-GB"/>
        </w:rPr>
        <w:t xml:space="preserve">. </w:t>
      </w:r>
      <w:r w:rsidRPr="000F31EB">
        <w:rPr>
          <w:lang w:val="en-GB"/>
        </w:rPr>
        <w:t>Aldershot</w:t>
      </w:r>
      <w:r>
        <w:rPr>
          <w:lang w:val="en-GB"/>
        </w:rPr>
        <w:t xml:space="preserve">: </w:t>
      </w:r>
      <w:proofErr w:type="spellStart"/>
      <w:r>
        <w:rPr>
          <w:lang w:val="en-GB"/>
        </w:rPr>
        <w:t>Ashgate</w:t>
      </w:r>
      <w:proofErr w:type="spellEnd"/>
      <w:r>
        <w:rPr>
          <w:lang w:val="en-GB"/>
        </w:rPr>
        <w:t xml:space="preserve"> Press.  (</w:t>
      </w:r>
      <w:r w:rsidR="00BB2C3D">
        <w:rPr>
          <w:lang w:val="en-GB"/>
        </w:rPr>
        <w:t xml:space="preserve">An art-historically oriented analysis of the Ballets </w:t>
      </w:r>
      <w:proofErr w:type="spellStart"/>
      <w:r w:rsidR="00BB2C3D">
        <w:rPr>
          <w:lang w:val="en-GB"/>
        </w:rPr>
        <w:t>Russes</w:t>
      </w:r>
      <w:proofErr w:type="spellEnd"/>
      <w:r w:rsidR="00BB2C3D">
        <w:rPr>
          <w:lang w:val="en-GB"/>
        </w:rPr>
        <w:t>’ impact on the visual arts</w:t>
      </w:r>
      <w:r>
        <w:rPr>
          <w:lang w:val="en-GB"/>
        </w:rPr>
        <w:t>)</w:t>
      </w:r>
    </w:p>
    <w:p w14:paraId="39BD9355"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8C9EEE2" w14:textId="2821D17E"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Pr>
          <w:lang w:val="en-GB"/>
        </w:rPr>
        <w:t>Garafola</w:t>
      </w:r>
      <w:proofErr w:type="spellEnd"/>
      <w:r>
        <w:rPr>
          <w:lang w:val="en-GB"/>
        </w:rPr>
        <w:t xml:space="preserve">, L. (1989) </w:t>
      </w:r>
      <w:r>
        <w:rPr>
          <w:i/>
          <w:lang w:val="en-GB"/>
        </w:rPr>
        <w:t xml:space="preserve">Diaghilev’s Ballets </w:t>
      </w:r>
      <w:proofErr w:type="spellStart"/>
      <w:r>
        <w:rPr>
          <w:i/>
          <w:lang w:val="en-GB"/>
        </w:rPr>
        <w:t>Russes</w:t>
      </w:r>
      <w:proofErr w:type="spellEnd"/>
      <w:r w:rsidR="007E137E">
        <w:rPr>
          <w:lang w:val="en-GB"/>
        </w:rPr>
        <w:t xml:space="preserve">, </w:t>
      </w:r>
      <w:r>
        <w:rPr>
          <w:lang w:val="en-GB"/>
        </w:rPr>
        <w:t>New Yor</w:t>
      </w:r>
      <w:r w:rsidR="007425A1">
        <w:rPr>
          <w:lang w:val="en-GB"/>
        </w:rPr>
        <w:t>k: Oxford University Press.  (A</w:t>
      </w:r>
      <w:r>
        <w:rPr>
          <w:lang w:val="en-GB"/>
        </w:rPr>
        <w:t xml:space="preserve"> </w:t>
      </w:r>
      <w:r w:rsidR="00292744">
        <w:rPr>
          <w:lang w:val="en-GB"/>
        </w:rPr>
        <w:t>comprehensive</w:t>
      </w:r>
      <w:r>
        <w:rPr>
          <w:lang w:val="en-GB"/>
        </w:rPr>
        <w:t xml:space="preserve"> overview of the history of </w:t>
      </w:r>
      <w:r>
        <w:rPr>
          <w:lang w:val="en-GB"/>
        </w:rPr>
        <w:t xml:space="preserve">the Ballets </w:t>
      </w:r>
      <w:proofErr w:type="spellStart"/>
      <w:r>
        <w:rPr>
          <w:lang w:val="en-GB"/>
        </w:rPr>
        <w:t>Russes</w:t>
      </w:r>
      <w:proofErr w:type="spellEnd"/>
      <w:r>
        <w:rPr>
          <w:lang w:val="en-GB"/>
        </w:rPr>
        <w:t>)</w:t>
      </w:r>
    </w:p>
    <w:p w14:paraId="35DE2720" w14:textId="77777777" w:rsidR="00BB2C3D" w:rsidRDefault="00BB2C3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268FB3FE" w14:textId="24713D56"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Rothschild, D. (1991) </w:t>
      </w:r>
      <w:r>
        <w:rPr>
          <w:i/>
          <w:lang w:val="en-GB"/>
        </w:rPr>
        <w:t>Picasso’s ‘Parade’:  From Street to Stage</w:t>
      </w:r>
      <w:r w:rsidR="000F31EB">
        <w:rPr>
          <w:lang w:val="en-GB"/>
        </w:rPr>
        <w:t>.</w:t>
      </w:r>
      <w:r w:rsidR="007E137E">
        <w:rPr>
          <w:lang w:val="en-GB"/>
        </w:rPr>
        <w:t xml:space="preserve"> </w:t>
      </w:r>
      <w:r>
        <w:rPr>
          <w:lang w:val="en-GB"/>
        </w:rPr>
        <w:t>London: Sotheby’s Publications.  (</w:t>
      </w:r>
      <w:r w:rsidR="007425A1">
        <w:rPr>
          <w:lang w:val="en-GB"/>
        </w:rPr>
        <w:t xml:space="preserve">An exhibition </w:t>
      </w:r>
      <w:r w:rsidR="007425A1">
        <w:rPr>
          <w:lang w:val="en-GB"/>
        </w:rPr>
        <w:t>catalogue focused on the ballet’s sources and evolution</w:t>
      </w:r>
      <w:r>
        <w:rPr>
          <w:lang w:val="en-GB"/>
        </w:rPr>
        <w:t>)</w:t>
      </w:r>
    </w:p>
    <w:p w14:paraId="71F8E80B"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74EAE6DA" w14:textId="346E9BF3"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Silver, K. E. (1989) </w:t>
      </w:r>
      <w:r>
        <w:rPr>
          <w:i/>
          <w:lang w:val="en-GB"/>
        </w:rPr>
        <w:t>Esprit de Corps: The Art of the Parisian Avant-Garde and the First World War, 1914-1925</w:t>
      </w:r>
      <w:r>
        <w:rPr>
          <w:lang w:val="en-GB"/>
        </w:rPr>
        <w:t>.  Princeton: Princeton University Press.  (</w:t>
      </w:r>
      <w:r w:rsidR="00BB2C3D">
        <w:rPr>
          <w:lang w:val="en-GB"/>
        </w:rPr>
        <w:t>A historically</w:t>
      </w:r>
      <w:r w:rsidR="000F31EB">
        <w:rPr>
          <w:lang w:val="en-GB"/>
        </w:rPr>
        <w:t xml:space="preserve"> </w:t>
      </w:r>
      <w:r w:rsidR="00BB2C3D">
        <w:rPr>
          <w:lang w:val="en-GB"/>
        </w:rPr>
        <w:t>grounded account of the impact of conservative politics on the artistic avant-garde</w:t>
      </w:r>
      <w:r>
        <w:rPr>
          <w:lang w:val="en-GB"/>
        </w:rPr>
        <w:t>)</w:t>
      </w:r>
    </w:p>
    <w:p w14:paraId="72A738F2"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14409095" w14:textId="12619691"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Pr>
          <w:lang w:val="en-GB"/>
        </w:rPr>
        <w:t>Steegmuller</w:t>
      </w:r>
      <w:proofErr w:type="spellEnd"/>
      <w:r>
        <w:rPr>
          <w:lang w:val="en-GB"/>
        </w:rPr>
        <w:t xml:space="preserve">, F. (1970) </w:t>
      </w:r>
      <w:r>
        <w:rPr>
          <w:i/>
          <w:lang w:val="en-GB"/>
        </w:rPr>
        <w:t>Cocteau: A Biography</w:t>
      </w:r>
      <w:r>
        <w:rPr>
          <w:lang w:val="en-GB"/>
        </w:rPr>
        <w:t>. Boston:</w:t>
      </w:r>
      <w:bookmarkStart w:id="0" w:name="_GoBack"/>
      <w:bookmarkEnd w:id="0"/>
      <w:r>
        <w:rPr>
          <w:lang w:val="en-GB"/>
        </w:rPr>
        <w:t xml:space="preserve"> Nonpareil</w:t>
      </w:r>
      <w:r w:rsidR="00BB2C3D">
        <w:rPr>
          <w:lang w:val="en-GB"/>
        </w:rPr>
        <w:t xml:space="preserve"> Books.  (A </w:t>
      </w:r>
      <w:r w:rsidR="000F31EB">
        <w:rPr>
          <w:lang w:val="en-GB"/>
        </w:rPr>
        <w:t>detailed</w:t>
      </w:r>
      <w:r w:rsidR="00BB2C3D">
        <w:rPr>
          <w:lang w:val="en-GB"/>
        </w:rPr>
        <w:t xml:space="preserve"> retelling of Cocteau’s career and private life</w:t>
      </w:r>
      <w:r>
        <w:rPr>
          <w:lang w:val="en-GB"/>
        </w:rPr>
        <w:t>)</w:t>
      </w:r>
    </w:p>
    <w:p w14:paraId="0BF75091"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29DA7324"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 xml:space="preserve">Weiss, J. (1994) </w:t>
      </w:r>
      <w:r>
        <w:rPr>
          <w:i/>
          <w:lang w:val="en-GB"/>
        </w:rPr>
        <w:t>The Popular Culture of Modern Art</w:t>
      </w:r>
      <w:r>
        <w:rPr>
          <w:lang w:val="en-GB"/>
        </w:rPr>
        <w:t xml:space="preserve">: </w:t>
      </w:r>
      <w:r>
        <w:rPr>
          <w:i/>
          <w:lang w:val="en-GB"/>
        </w:rPr>
        <w:t>Picasso, Duchamp, and Avant-Gardism</w:t>
      </w:r>
      <w:r>
        <w:rPr>
          <w:lang w:val="en-GB"/>
        </w:rPr>
        <w:t>. New Haven: Yale University Press.  (</w:t>
      </w:r>
      <w:r w:rsidR="00BB2C3D">
        <w:rPr>
          <w:lang w:val="en-GB"/>
        </w:rPr>
        <w:t>A comparative investigation of the relationship between modern art and popular culture at the turn of the century</w:t>
      </w:r>
      <w:r>
        <w:rPr>
          <w:lang w:val="en-GB"/>
        </w:rPr>
        <w:t>)</w:t>
      </w:r>
    </w:p>
    <w:p w14:paraId="3C7FE2DA"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112E9692"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b/>
          <w:lang w:val="en-GB"/>
        </w:rPr>
        <w:t>Moving Image Material</w:t>
      </w:r>
    </w:p>
    <w:p w14:paraId="43531C8E"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i/>
          <w:lang w:val="en-GB"/>
        </w:rPr>
        <w:t xml:space="preserve">Picasso et la </w:t>
      </w:r>
      <w:proofErr w:type="spellStart"/>
      <w:r>
        <w:rPr>
          <w:i/>
          <w:lang w:val="en-GB"/>
        </w:rPr>
        <w:t>Danse</w:t>
      </w:r>
      <w:proofErr w:type="spellEnd"/>
      <w:r>
        <w:rPr>
          <w:i/>
          <w:lang w:val="en-GB"/>
        </w:rPr>
        <w:t xml:space="preserve">: Parade, </w:t>
      </w:r>
      <w:proofErr w:type="spellStart"/>
      <w:proofErr w:type="gramStart"/>
      <w:r>
        <w:rPr>
          <w:i/>
          <w:lang w:val="en-GB"/>
        </w:rPr>
        <w:t>Pulcinella</w:t>
      </w:r>
      <w:proofErr w:type="spellEnd"/>
      <w:r>
        <w:rPr>
          <w:i/>
          <w:lang w:val="en-GB"/>
        </w:rPr>
        <w:t xml:space="preserve">  </w:t>
      </w:r>
      <w:proofErr w:type="spellStart"/>
      <w:r>
        <w:rPr>
          <w:i/>
          <w:lang w:val="en-GB"/>
        </w:rPr>
        <w:t>Mercure</w:t>
      </w:r>
      <w:proofErr w:type="spellEnd"/>
      <w:proofErr w:type="gramEnd"/>
      <w:r>
        <w:rPr>
          <w:i/>
          <w:lang w:val="en-GB"/>
        </w:rPr>
        <w:t xml:space="preserve">, </w:t>
      </w:r>
      <w:proofErr w:type="spellStart"/>
      <w:r>
        <w:rPr>
          <w:i/>
          <w:lang w:val="en-GB"/>
        </w:rPr>
        <w:t>Cuadro</w:t>
      </w:r>
      <w:proofErr w:type="spellEnd"/>
      <w:r>
        <w:rPr>
          <w:i/>
          <w:lang w:val="en-GB"/>
        </w:rPr>
        <w:t xml:space="preserve"> Flamenco</w:t>
      </w:r>
      <w:r>
        <w:rPr>
          <w:lang w:val="en-GB"/>
        </w:rPr>
        <w:t xml:space="preserve"> (2008).  (Brief clips of </w:t>
      </w:r>
      <w:r>
        <w:rPr>
          <w:i/>
          <w:lang w:val="en-GB"/>
        </w:rPr>
        <w:t>Parade</w:t>
      </w:r>
      <w:r>
        <w:rPr>
          <w:lang w:val="en-GB"/>
        </w:rPr>
        <w:t xml:space="preserve"> staged by Suzanna </w:t>
      </w:r>
      <w:proofErr w:type="spellStart"/>
      <w:proofErr w:type="gramStart"/>
      <w:r>
        <w:rPr>
          <w:lang w:val="en-GB"/>
        </w:rPr>
        <w:t>della</w:t>
      </w:r>
      <w:proofErr w:type="spellEnd"/>
      <w:proofErr w:type="gramEnd"/>
      <w:r>
        <w:rPr>
          <w:lang w:val="en-GB"/>
        </w:rPr>
        <w:t xml:space="preserve"> </w:t>
      </w:r>
      <w:proofErr w:type="spellStart"/>
      <w:r>
        <w:rPr>
          <w:lang w:val="en-GB"/>
        </w:rPr>
        <w:t>Pietra</w:t>
      </w:r>
      <w:proofErr w:type="spellEnd"/>
      <w:r>
        <w:rPr>
          <w:lang w:val="en-GB"/>
        </w:rPr>
        <w:t xml:space="preserve"> and performed by the company Europa Dance)</w:t>
      </w:r>
    </w:p>
    <w:p w14:paraId="667B524B" w14:textId="77777777" w:rsidR="007F09F6" w:rsidRDefault="002927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hyperlink r:id="rId5" w:history="1">
        <w:r w:rsidR="007F09F6">
          <w:rPr>
            <w:rStyle w:val="WPHyperlink"/>
            <w:lang w:val="en-GB"/>
          </w:rPr>
          <w:t>http://www.youtube.com/watch?v=_Chq1Ty0nyE</w:t>
        </w:r>
      </w:hyperlink>
    </w:p>
    <w:p w14:paraId="2410F7DE"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A01B35A"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Pr>
          <w:i/>
          <w:lang w:val="en-GB"/>
        </w:rPr>
        <w:t>Joffrey</w:t>
      </w:r>
      <w:proofErr w:type="spellEnd"/>
      <w:r>
        <w:rPr>
          <w:i/>
          <w:lang w:val="en-GB"/>
        </w:rPr>
        <w:t>: Mavericks of American Dance</w:t>
      </w:r>
      <w:r>
        <w:rPr>
          <w:lang w:val="en-GB"/>
        </w:rPr>
        <w:t xml:space="preserve"> (2012).  (American Masters documentary with clips of </w:t>
      </w:r>
      <w:proofErr w:type="spellStart"/>
      <w:r>
        <w:rPr>
          <w:lang w:val="en-GB"/>
        </w:rPr>
        <w:t>Léonide</w:t>
      </w:r>
      <w:proofErr w:type="spellEnd"/>
      <w:r>
        <w:rPr>
          <w:lang w:val="en-GB"/>
        </w:rPr>
        <w:t xml:space="preserve"> Massine restaging the ballet and Gary </w:t>
      </w:r>
      <w:proofErr w:type="spellStart"/>
      <w:r>
        <w:rPr>
          <w:lang w:val="en-GB"/>
        </w:rPr>
        <w:t>Chryst</w:t>
      </w:r>
      <w:proofErr w:type="spellEnd"/>
      <w:r>
        <w:rPr>
          <w:lang w:val="en-GB"/>
        </w:rPr>
        <w:t xml:space="preserve"> performing the Chinese Conjuror’s dance)</w:t>
      </w:r>
    </w:p>
    <w:p w14:paraId="6E4A43E8" w14:textId="77777777" w:rsidR="007F09F6" w:rsidRDefault="002927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hyperlink r:id="rId6" w:history="1">
        <w:r w:rsidR="007F09F6">
          <w:rPr>
            <w:color w:val="0000FF"/>
            <w:u w:val="single"/>
            <w:lang w:val="en-GB"/>
          </w:rPr>
          <w:t>http://video.pbs.org/video/2320387369</w:t>
        </w:r>
      </w:hyperlink>
    </w:p>
    <w:p w14:paraId="321C0EAC"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796BABD5"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Pr>
          <w:b/>
          <w:lang w:val="en-GB"/>
        </w:rPr>
        <w:t>Paratextual</w:t>
      </w:r>
      <w:proofErr w:type="spellEnd"/>
      <w:r>
        <w:rPr>
          <w:b/>
          <w:lang w:val="en-GB"/>
        </w:rPr>
        <w:t xml:space="preserve"> Material</w:t>
      </w:r>
    </w:p>
    <w:p w14:paraId="32ABF1EE" w14:textId="4C4BBB25" w:rsidR="006A42AD" w:rsidRPr="006A42AD" w:rsidRDefault="0039786E" w:rsidP="006A42AD">
      <w:pPr>
        <w:rPr>
          <w:rFonts w:ascii="Times" w:hAnsi="Times"/>
          <w:sz w:val="20"/>
        </w:rPr>
      </w:pPr>
      <w:r>
        <w:rPr>
          <w:rFonts w:ascii="Times" w:hAnsi="Times"/>
          <w:noProof/>
          <w:sz w:val="20"/>
        </w:rPr>
        <w:drawing>
          <wp:inline distT="0" distB="0" distL="0" distR="0" wp14:anchorId="2AD628E6" wp14:editId="29AF7C99">
            <wp:extent cx="4673600" cy="3086100"/>
            <wp:effectExtent l="0" t="0" r="0" b="12700"/>
            <wp:docPr id="1" name="a1.1.2.1.2.1:Image_img" descr=" 1910s, Ballet, Ballets Russes, Paris, Cocteau, Jean (1889-1963) © ARS, NY, Commedia dell'Arte, Composer, Curtain, Diaghilev, Sergei (1872-1929), Harlequin, Parade, Pegasus, Satie, Erik (1866-1925), Set Design, Theat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1.2.1.2.1:Image_img" descr=" 1910s, Ballet, Ballets Russes, Paris, Cocteau, Jean (1889-1963) © ARS, NY, Commedia dell'Arte, Composer, Curtain, Diaghilev, Sergei (1872-1929), Harlequin, Parade, Pegasus, Satie, Erik (1866-1925), Set Design, Theater Art"/>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673600" cy="3086100"/>
                    </a:xfrm>
                    <a:prstGeom prst="rect">
                      <a:avLst/>
                    </a:prstGeom>
                    <a:noFill/>
                    <a:ln>
                      <a:noFill/>
                    </a:ln>
                  </pic:spPr>
                </pic:pic>
              </a:graphicData>
            </a:graphic>
          </wp:inline>
        </w:drawing>
      </w:r>
    </w:p>
    <w:p w14:paraId="096D1281" w14:textId="77777777" w:rsidR="006A42AD" w:rsidRPr="006A42AD" w:rsidRDefault="00292744" w:rsidP="006A42AD">
      <w:pPr>
        <w:rPr>
          <w:rFonts w:ascii="Times" w:hAnsi="Times"/>
          <w:sz w:val="20"/>
        </w:rPr>
      </w:pPr>
      <w:hyperlink r:id="rId9" w:history="1">
        <w:r w:rsidR="006A42AD" w:rsidRPr="006A42AD">
          <w:rPr>
            <w:rFonts w:ascii="Times" w:hAnsi="Times"/>
            <w:color w:val="0000FF"/>
            <w:sz w:val="20"/>
            <w:u w:val="single"/>
          </w:rPr>
          <w:t>Picasso, Pablo (1881-1973) © ARS, NY</w:t>
        </w:r>
      </w:hyperlink>
    </w:p>
    <w:p w14:paraId="386B8693" w14:textId="77777777" w:rsidR="006A42AD" w:rsidRPr="006A42AD" w:rsidRDefault="00A52426" w:rsidP="006A42AD">
      <w:pPr>
        <w:rPr>
          <w:rFonts w:ascii="Times" w:hAnsi="Times"/>
          <w:sz w:val="20"/>
        </w:rPr>
      </w:pPr>
      <w:r>
        <w:rPr>
          <w:rFonts w:ascii="Times" w:hAnsi="Times"/>
          <w:sz w:val="20"/>
        </w:rPr>
        <w:t xml:space="preserve">Curtain design for the ballet </w:t>
      </w:r>
      <w:r w:rsidR="006A42AD" w:rsidRPr="00A52426">
        <w:rPr>
          <w:rFonts w:ascii="Times" w:hAnsi="Times"/>
          <w:i/>
          <w:sz w:val="20"/>
        </w:rPr>
        <w:t>Parade</w:t>
      </w:r>
      <w:r w:rsidR="006A42AD" w:rsidRPr="006A42AD">
        <w:rPr>
          <w:rFonts w:ascii="Times" w:hAnsi="Times"/>
          <w:sz w:val="20"/>
        </w:rPr>
        <w:t xml:space="preserve">, 1917. 10.5 x 16.4 m. AM3365P. Photo: Christian </w:t>
      </w:r>
      <w:proofErr w:type="spellStart"/>
      <w:r w:rsidR="006A42AD" w:rsidRPr="006A42AD">
        <w:rPr>
          <w:rFonts w:ascii="Times" w:hAnsi="Times"/>
          <w:sz w:val="20"/>
        </w:rPr>
        <w:t>Bahier</w:t>
      </w:r>
      <w:proofErr w:type="spellEnd"/>
      <w:r w:rsidR="006A42AD" w:rsidRPr="006A42AD">
        <w:rPr>
          <w:rFonts w:ascii="Times" w:hAnsi="Times"/>
          <w:sz w:val="20"/>
        </w:rPr>
        <w:t>.</w:t>
      </w:r>
    </w:p>
    <w:p w14:paraId="10169996" w14:textId="77777777" w:rsidR="006A42AD" w:rsidRPr="006A42AD" w:rsidRDefault="006A42AD" w:rsidP="006A42AD">
      <w:pPr>
        <w:rPr>
          <w:rFonts w:ascii="Times" w:hAnsi="Times"/>
          <w:sz w:val="20"/>
        </w:rPr>
      </w:pPr>
      <w:r w:rsidRPr="006A42AD">
        <w:rPr>
          <w:rFonts w:ascii="Times" w:hAnsi="Times"/>
          <w:sz w:val="20"/>
        </w:rPr>
        <w:t>Location:</w:t>
      </w:r>
      <w:r>
        <w:rPr>
          <w:rFonts w:ascii="Times" w:hAnsi="Times"/>
          <w:sz w:val="20"/>
        </w:rPr>
        <w:t xml:space="preserve"> </w:t>
      </w:r>
      <w:proofErr w:type="spellStart"/>
      <w:r w:rsidR="00A52426">
        <w:rPr>
          <w:rFonts w:ascii="Times" w:hAnsi="Times"/>
          <w:sz w:val="20"/>
        </w:rPr>
        <w:t>Mus</w:t>
      </w:r>
      <w:r w:rsidR="00A52426">
        <w:rPr>
          <w:rFonts w:ascii="Times" w:hAnsi="Times" w:cs="Times"/>
          <w:sz w:val="20"/>
        </w:rPr>
        <w:t>é</w:t>
      </w:r>
      <w:r w:rsidRPr="006A42AD">
        <w:rPr>
          <w:rFonts w:ascii="Times" w:hAnsi="Times"/>
          <w:sz w:val="20"/>
        </w:rPr>
        <w:t>e</w:t>
      </w:r>
      <w:proofErr w:type="spellEnd"/>
      <w:r w:rsidRPr="006A42AD">
        <w:rPr>
          <w:rFonts w:ascii="Times" w:hAnsi="Times"/>
          <w:sz w:val="20"/>
        </w:rPr>
        <w:t xml:space="preserve"> National </w:t>
      </w:r>
      <w:proofErr w:type="spellStart"/>
      <w:r w:rsidRPr="006A42AD">
        <w:rPr>
          <w:rFonts w:ascii="Times" w:hAnsi="Times"/>
          <w:sz w:val="20"/>
        </w:rPr>
        <w:t>d'Art</w:t>
      </w:r>
      <w:proofErr w:type="spellEnd"/>
      <w:r w:rsidRPr="006A42AD">
        <w:rPr>
          <w:rFonts w:ascii="Times" w:hAnsi="Times"/>
          <w:sz w:val="20"/>
        </w:rPr>
        <w:t xml:space="preserve"> </w:t>
      </w:r>
      <w:proofErr w:type="spellStart"/>
      <w:r w:rsidRPr="006A42AD">
        <w:rPr>
          <w:rFonts w:ascii="Times" w:hAnsi="Times"/>
          <w:sz w:val="20"/>
        </w:rPr>
        <w:t>Moderne</w:t>
      </w:r>
      <w:proofErr w:type="spellEnd"/>
      <w:r w:rsidRPr="006A42AD">
        <w:rPr>
          <w:rFonts w:ascii="Times" w:hAnsi="Times"/>
          <w:sz w:val="20"/>
        </w:rPr>
        <w:t>, Centre Georges Pompidou, Paris</w:t>
      </w:r>
    </w:p>
    <w:p w14:paraId="4E0EBD59" w14:textId="77777777" w:rsidR="006A42AD" w:rsidRPr="006A42AD" w:rsidRDefault="006A42AD" w:rsidP="006A42AD">
      <w:pPr>
        <w:rPr>
          <w:rFonts w:ascii="Times" w:hAnsi="Times"/>
          <w:sz w:val="20"/>
        </w:rPr>
      </w:pPr>
      <w:r w:rsidRPr="006A42AD">
        <w:rPr>
          <w:rFonts w:ascii="Times" w:hAnsi="Times"/>
          <w:sz w:val="20"/>
        </w:rPr>
        <w:t>Photo Credit:</w:t>
      </w:r>
      <w:r>
        <w:rPr>
          <w:rFonts w:ascii="Times" w:hAnsi="Times"/>
          <w:sz w:val="20"/>
        </w:rPr>
        <w:t xml:space="preserve"> </w:t>
      </w:r>
      <w:r w:rsidRPr="006A42AD">
        <w:rPr>
          <w:rFonts w:ascii="Times" w:hAnsi="Times"/>
          <w:sz w:val="20"/>
        </w:rPr>
        <w:t xml:space="preserve">CNAC/MNAM/Dist. RMN-Grand </w:t>
      </w:r>
      <w:proofErr w:type="spellStart"/>
      <w:r w:rsidRPr="006A42AD">
        <w:rPr>
          <w:rFonts w:ascii="Times" w:hAnsi="Times"/>
          <w:sz w:val="20"/>
        </w:rPr>
        <w:t>Palais</w:t>
      </w:r>
      <w:proofErr w:type="spellEnd"/>
      <w:r w:rsidRPr="006A42AD">
        <w:rPr>
          <w:rFonts w:ascii="Times" w:hAnsi="Times"/>
          <w:sz w:val="20"/>
        </w:rPr>
        <w:t xml:space="preserve"> / Art Resource, NY</w:t>
      </w:r>
    </w:p>
    <w:p w14:paraId="2682DF78" w14:textId="77777777" w:rsidR="006A42AD" w:rsidRPr="006A42AD" w:rsidRDefault="006A42AD" w:rsidP="006A42AD">
      <w:pPr>
        <w:rPr>
          <w:rFonts w:ascii="Times" w:hAnsi="Times"/>
          <w:sz w:val="20"/>
        </w:rPr>
      </w:pPr>
      <w:r w:rsidRPr="006A42AD">
        <w:rPr>
          <w:rFonts w:ascii="Times" w:hAnsi="Times"/>
          <w:sz w:val="20"/>
        </w:rPr>
        <w:t>Image Reference:</w:t>
      </w:r>
      <w:r>
        <w:rPr>
          <w:rFonts w:ascii="Times" w:hAnsi="Times"/>
          <w:sz w:val="20"/>
        </w:rPr>
        <w:t xml:space="preserve"> </w:t>
      </w:r>
      <w:r w:rsidRPr="006A42AD">
        <w:rPr>
          <w:rFonts w:ascii="Times" w:hAnsi="Times"/>
          <w:sz w:val="20"/>
        </w:rPr>
        <w:t>ART160567</w:t>
      </w:r>
    </w:p>
    <w:p w14:paraId="05C3B3CC" w14:textId="77777777" w:rsidR="006A42AD" w:rsidRDefault="006A42AD" w:rsidP="006A42AD">
      <w:pPr>
        <w:rPr>
          <w:rFonts w:ascii="Times" w:hAnsi="Times"/>
          <w:sz w:val="20"/>
        </w:rPr>
      </w:pPr>
      <w:r w:rsidRPr="006A42AD">
        <w:rPr>
          <w:rFonts w:ascii="Times" w:hAnsi="Times"/>
          <w:sz w:val="20"/>
        </w:rPr>
        <w:t>Image size:</w:t>
      </w:r>
      <w:r>
        <w:rPr>
          <w:rFonts w:ascii="Times" w:hAnsi="Times"/>
          <w:sz w:val="20"/>
        </w:rPr>
        <w:t xml:space="preserve"> </w:t>
      </w:r>
      <w:r w:rsidRPr="006A42AD">
        <w:rPr>
          <w:rFonts w:ascii="Times" w:hAnsi="Times"/>
          <w:sz w:val="20"/>
        </w:rPr>
        <w:t xml:space="preserve">3733 X 2460 </w:t>
      </w:r>
      <w:proofErr w:type="spellStart"/>
      <w:proofErr w:type="gramStart"/>
      <w:r w:rsidRPr="006A42AD">
        <w:rPr>
          <w:rFonts w:ascii="Times" w:hAnsi="Times"/>
          <w:sz w:val="20"/>
        </w:rPr>
        <w:t>px</w:t>
      </w:r>
      <w:proofErr w:type="spellEnd"/>
      <w:proofErr w:type="gramEnd"/>
    </w:p>
    <w:p w14:paraId="3FD54B3D" w14:textId="77777777" w:rsidR="006A42AD" w:rsidRDefault="006A42AD" w:rsidP="006A42AD">
      <w:pPr>
        <w:rPr>
          <w:rFonts w:ascii="Times" w:hAnsi="Times"/>
          <w:sz w:val="20"/>
        </w:rPr>
      </w:pPr>
    </w:p>
    <w:p w14:paraId="74B42A7D" w14:textId="3ED11DB1" w:rsidR="006A42AD" w:rsidRPr="006A42AD" w:rsidRDefault="0039786E" w:rsidP="006A42AD">
      <w:pPr>
        <w:rPr>
          <w:rFonts w:ascii="Times" w:hAnsi="Times"/>
          <w:sz w:val="20"/>
        </w:rPr>
      </w:pPr>
      <w:r>
        <w:rPr>
          <w:rFonts w:ascii="Times" w:hAnsi="Times"/>
          <w:noProof/>
          <w:sz w:val="20"/>
        </w:rPr>
        <w:drawing>
          <wp:inline distT="0" distB="0" distL="0" distR="0" wp14:anchorId="74EBDBDD" wp14:editId="6A46F27A">
            <wp:extent cx="2794000" cy="4330700"/>
            <wp:effectExtent l="0" t="0" r="0" b="12700"/>
            <wp:docPr id="2" name="Picture 2" descr=" 1910s, Ballet, Costume, Paris, France,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1910s, Ballet, Costume, Paris, France, Photograph"/>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94000" cy="4330700"/>
                    </a:xfrm>
                    <a:prstGeom prst="rect">
                      <a:avLst/>
                    </a:prstGeom>
                    <a:noFill/>
                    <a:ln>
                      <a:noFill/>
                    </a:ln>
                  </pic:spPr>
                </pic:pic>
              </a:graphicData>
            </a:graphic>
          </wp:inline>
        </w:drawing>
      </w:r>
    </w:p>
    <w:p w14:paraId="3ECEFA9E" w14:textId="77777777" w:rsidR="006A42AD" w:rsidRPr="006A42AD" w:rsidRDefault="00292744" w:rsidP="006A42AD">
      <w:pPr>
        <w:rPr>
          <w:rFonts w:ascii="Times" w:hAnsi="Times"/>
          <w:sz w:val="20"/>
        </w:rPr>
      </w:pPr>
      <w:hyperlink r:id="rId12" w:history="1">
        <w:r w:rsidR="006A42AD" w:rsidRPr="006A42AD">
          <w:rPr>
            <w:rFonts w:ascii="Times" w:hAnsi="Times"/>
            <w:color w:val="0000FF"/>
            <w:sz w:val="20"/>
            <w:u w:val="single"/>
          </w:rPr>
          <w:t>Picasso, Pablo (1881-1973) © ARS, NY</w:t>
        </w:r>
      </w:hyperlink>
    </w:p>
    <w:p w14:paraId="257146F5" w14:textId="77777777" w:rsidR="006A42AD" w:rsidRPr="006A42AD" w:rsidRDefault="00A52426" w:rsidP="006A42AD">
      <w:pPr>
        <w:rPr>
          <w:rFonts w:ascii="Times" w:hAnsi="Times"/>
          <w:sz w:val="20"/>
        </w:rPr>
      </w:pPr>
      <w:r>
        <w:rPr>
          <w:szCs w:val="24"/>
          <w:lang w:val="en-CA"/>
        </w:rPr>
        <w:fldChar w:fldCharType="begin"/>
      </w:r>
      <w:r>
        <w:rPr>
          <w:szCs w:val="24"/>
          <w:lang w:val="en-CA"/>
        </w:rPr>
        <w:instrText xml:space="preserve"> SEQ CHAPTER \h \r 1</w:instrText>
      </w:r>
      <w:r>
        <w:rPr>
          <w:szCs w:val="24"/>
          <w:lang w:val="en-CA"/>
        </w:rPr>
        <w:fldChar w:fldCharType="end"/>
      </w:r>
      <w:proofErr w:type="spellStart"/>
      <w:r>
        <w:rPr>
          <w:rFonts w:ascii="Times" w:hAnsi="Times"/>
          <w:sz w:val="20"/>
        </w:rPr>
        <w:t>Maksymilian</w:t>
      </w:r>
      <w:proofErr w:type="spellEnd"/>
      <w:r>
        <w:rPr>
          <w:rFonts w:ascii="Times" w:hAnsi="Times"/>
          <w:sz w:val="20"/>
        </w:rPr>
        <w:t xml:space="preserve"> </w:t>
      </w:r>
      <w:proofErr w:type="spellStart"/>
      <w:r>
        <w:rPr>
          <w:rFonts w:ascii="Times" w:hAnsi="Times"/>
          <w:sz w:val="20"/>
        </w:rPr>
        <w:t>S</w:t>
      </w:r>
      <w:r w:rsidR="006A42AD" w:rsidRPr="006A42AD">
        <w:rPr>
          <w:rFonts w:ascii="Times" w:hAnsi="Times"/>
          <w:sz w:val="20"/>
        </w:rPr>
        <w:t>tatk</w:t>
      </w:r>
      <w:r>
        <w:rPr>
          <w:rFonts w:ascii="Times" w:hAnsi="Times"/>
          <w:sz w:val="20"/>
        </w:rPr>
        <w:t>iewic</w:t>
      </w:r>
      <w:r w:rsidR="006A42AD" w:rsidRPr="006A42AD">
        <w:rPr>
          <w:rFonts w:ascii="Times" w:hAnsi="Times"/>
          <w:sz w:val="20"/>
        </w:rPr>
        <w:t>z</w:t>
      </w:r>
      <w:proofErr w:type="spellEnd"/>
      <w:r w:rsidR="006A42AD" w:rsidRPr="006A42AD">
        <w:rPr>
          <w:rFonts w:ascii="Times" w:hAnsi="Times"/>
          <w:sz w:val="20"/>
        </w:rPr>
        <w:t xml:space="preserve"> as the American Manager in the f</w:t>
      </w:r>
      <w:r>
        <w:rPr>
          <w:rFonts w:ascii="Times" w:hAnsi="Times"/>
          <w:sz w:val="20"/>
        </w:rPr>
        <w:t xml:space="preserve">irst performance of the ballet </w:t>
      </w:r>
      <w:r w:rsidRPr="00A52426">
        <w:rPr>
          <w:rFonts w:ascii="Times" w:hAnsi="Times"/>
          <w:i/>
          <w:sz w:val="20"/>
        </w:rPr>
        <w:t>Parade</w:t>
      </w:r>
      <w:r w:rsidR="006A42AD" w:rsidRPr="006A42AD">
        <w:rPr>
          <w:rFonts w:ascii="Times" w:hAnsi="Times"/>
          <w:sz w:val="20"/>
        </w:rPr>
        <w:t>, Paris</w:t>
      </w:r>
      <w:r>
        <w:rPr>
          <w:rFonts w:ascii="Times" w:hAnsi="Times"/>
          <w:sz w:val="20"/>
        </w:rPr>
        <w:t xml:space="preserve">, </w:t>
      </w:r>
      <w:proofErr w:type="spellStart"/>
      <w:r>
        <w:rPr>
          <w:rFonts w:ascii="Times" w:hAnsi="Times"/>
          <w:sz w:val="20"/>
        </w:rPr>
        <w:t>Th</w:t>
      </w:r>
      <w:r>
        <w:rPr>
          <w:rFonts w:ascii="Times" w:hAnsi="Times" w:cs="Times"/>
          <w:sz w:val="20"/>
        </w:rPr>
        <w:t>éâ</w:t>
      </w:r>
      <w:r w:rsidR="006A42AD" w:rsidRPr="006A42AD">
        <w:rPr>
          <w:rFonts w:ascii="Times" w:hAnsi="Times"/>
          <w:sz w:val="20"/>
        </w:rPr>
        <w:t>tre</w:t>
      </w:r>
      <w:proofErr w:type="spellEnd"/>
      <w:r w:rsidR="006A42AD" w:rsidRPr="006A42AD">
        <w:rPr>
          <w:rFonts w:ascii="Times" w:hAnsi="Times"/>
          <w:sz w:val="20"/>
        </w:rPr>
        <w:t xml:space="preserve"> du </w:t>
      </w:r>
      <w:proofErr w:type="spellStart"/>
      <w:r w:rsidR="006A42AD" w:rsidRPr="006A42AD">
        <w:rPr>
          <w:rFonts w:ascii="Times" w:hAnsi="Times"/>
          <w:sz w:val="20"/>
        </w:rPr>
        <w:t>Ch</w:t>
      </w:r>
      <w:r>
        <w:rPr>
          <w:rFonts w:ascii="Times" w:hAnsi="Times" w:cs="Times"/>
          <w:sz w:val="20"/>
        </w:rPr>
        <w:t>â</w:t>
      </w:r>
      <w:r w:rsidR="006A42AD" w:rsidRPr="006A42AD">
        <w:rPr>
          <w:rFonts w:ascii="Times" w:hAnsi="Times"/>
          <w:sz w:val="20"/>
        </w:rPr>
        <w:t>telet</w:t>
      </w:r>
      <w:proofErr w:type="spellEnd"/>
      <w:r w:rsidR="006A42AD" w:rsidRPr="006A42AD">
        <w:rPr>
          <w:rFonts w:ascii="Times" w:hAnsi="Times"/>
          <w:sz w:val="20"/>
        </w:rPr>
        <w:t xml:space="preserve">, </w:t>
      </w:r>
      <w:r>
        <w:rPr>
          <w:rFonts w:ascii="Times" w:hAnsi="Times"/>
          <w:sz w:val="20"/>
        </w:rPr>
        <w:t>18 M</w:t>
      </w:r>
      <w:r w:rsidR="006A42AD" w:rsidRPr="006A42AD">
        <w:rPr>
          <w:rFonts w:ascii="Times" w:hAnsi="Times"/>
          <w:sz w:val="20"/>
        </w:rPr>
        <w:t>ay 1917. Curtain, scenery and costumes by Picasso. (PA209)</w:t>
      </w:r>
    </w:p>
    <w:p w14:paraId="05BBEA64" w14:textId="77777777" w:rsidR="006A42AD" w:rsidRPr="006A42AD" w:rsidRDefault="006A42AD" w:rsidP="006A42AD">
      <w:pPr>
        <w:rPr>
          <w:rFonts w:ascii="Times" w:hAnsi="Times"/>
          <w:sz w:val="20"/>
        </w:rPr>
      </w:pPr>
      <w:r w:rsidRPr="006A42AD">
        <w:rPr>
          <w:rFonts w:ascii="Times" w:hAnsi="Times"/>
          <w:sz w:val="20"/>
        </w:rPr>
        <w:t>Location:</w:t>
      </w:r>
      <w:r>
        <w:rPr>
          <w:rFonts w:ascii="Times" w:hAnsi="Times"/>
          <w:sz w:val="20"/>
        </w:rPr>
        <w:t xml:space="preserve"> </w:t>
      </w:r>
      <w:r w:rsidRPr="006A42AD">
        <w:rPr>
          <w:rFonts w:ascii="Times" w:hAnsi="Times"/>
          <w:sz w:val="20"/>
        </w:rPr>
        <w:t xml:space="preserve">The Museum of Modern Art, New York, NY, </w:t>
      </w:r>
      <w:proofErr w:type="gramStart"/>
      <w:r w:rsidRPr="006A42AD">
        <w:rPr>
          <w:rFonts w:ascii="Times" w:hAnsi="Times"/>
          <w:sz w:val="20"/>
        </w:rPr>
        <w:t>U.S.A</w:t>
      </w:r>
      <w:proofErr w:type="gramEnd"/>
      <w:r w:rsidRPr="006A42AD">
        <w:rPr>
          <w:rFonts w:ascii="Times" w:hAnsi="Times"/>
          <w:sz w:val="20"/>
        </w:rPr>
        <w:t>.</w:t>
      </w:r>
    </w:p>
    <w:p w14:paraId="151BB973" w14:textId="77777777" w:rsidR="006A42AD" w:rsidRPr="006A42AD" w:rsidRDefault="006A42AD" w:rsidP="006A42AD">
      <w:pPr>
        <w:rPr>
          <w:rFonts w:ascii="Times" w:hAnsi="Times"/>
          <w:sz w:val="20"/>
        </w:rPr>
      </w:pPr>
      <w:r w:rsidRPr="006A42AD">
        <w:rPr>
          <w:rFonts w:ascii="Times" w:hAnsi="Times"/>
          <w:sz w:val="20"/>
        </w:rPr>
        <w:t>Photo Credit:</w:t>
      </w:r>
      <w:r>
        <w:rPr>
          <w:rFonts w:ascii="Times" w:hAnsi="Times"/>
          <w:sz w:val="20"/>
        </w:rPr>
        <w:t xml:space="preserve"> </w:t>
      </w:r>
      <w:r w:rsidRPr="006A42AD">
        <w:rPr>
          <w:rFonts w:ascii="Times" w:hAnsi="Times"/>
          <w:sz w:val="20"/>
        </w:rPr>
        <w:t>Digital Image © The Museum of Modern Art/Licensed by SCALA / Art Resource, NY</w:t>
      </w:r>
    </w:p>
    <w:p w14:paraId="63A63051" w14:textId="77777777" w:rsidR="006A42AD" w:rsidRPr="006A42AD" w:rsidRDefault="006A42AD" w:rsidP="006A42AD">
      <w:pPr>
        <w:rPr>
          <w:rFonts w:ascii="Times" w:hAnsi="Times"/>
          <w:sz w:val="20"/>
        </w:rPr>
      </w:pPr>
      <w:r w:rsidRPr="006A42AD">
        <w:rPr>
          <w:rFonts w:ascii="Times" w:hAnsi="Times"/>
          <w:sz w:val="20"/>
        </w:rPr>
        <w:t>Image Reference:</w:t>
      </w:r>
      <w:r>
        <w:rPr>
          <w:rFonts w:ascii="Times" w:hAnsi="Times"/>
          <w:sz w:val="20"/>
        </w:rPr>
        <w:t xml:space="preserve"> </w:t>
      </w:r>
      <w:r w:rsidRPr="006A42AD">
        <w:rPr>
          <w:rFonts w:ascii="Times" w:hAnsi="Times"/>
          <w:sz w:val="20"/>
        </w:rPr>
        <w:t>ART371783</w:t>
      </w:r>
    </w:p>
    <w:p w14:paraId="79986E76" w14:textId="77777777" w:rsidR="006A42AD" w:rsidRPr="006A42AD" w:rsidRDefault="006A42AD" w:rsidP="006A42AD">
      <w:pPr>
        <w:rPr>
          <w:rFonts w:ascii="Times" w:hAnsi="Times"/>
          <w:sz w:val="20"/>
        </w:rPr>
      </w:pPr>
      <w:r w:rsidRPr="006A42AD">
        <w:rPr>
          <w:rFonts w:ascii="Times" w:hAnsi="Times"/>
          <w:sz w:val="20"/>
        </w:rPr>
        <w:t>Image size:</w:t>
      </w:r>
      <w:r>
        <w:rPr>
          <w:rFonts w:ascii="Times" w:hAnsi="Times"/>
          <w:sz w:val="20"/>
        </w:rPr>
        <w:t xml:space="preserve"> </w:t>
      </w:r>
      <w:r w:rsidRPr="006A42AD">
        <w:rPr>
          <w:rFonts w:ascii="Times" w:hAnsi="Times"/>
          <w:sz w:val="20"/>
        </w:rPr>
        <w:t xml:space="preserve">2436 X 3780 </w:t>
      </w:r>
      <w:proofErr w:type="spellStart"/>
      <w:proofErr w:type="gramStart"/>
      <w:r w:rsidRPr="006A42AD">
        <w:rPr>
          <w:rFonts w:ascii="Times" w:hAnsi="Times"/>
          <w:sz w:val="20"/>
        </w:rPr>
        <w:t>px</w:t>
      </w:r>
      <w:proofErr w:type="spellEnd"/>
      <w:proofErr w:type="gramEnd"/>
    </w:p>
    <w:p w14:paraId="67D2994E" w14:textId="77777777" w:rsidR="006A42AD" w:rsidRPr="006A42AD" w:rsidRDefault="006A42AD" w:rsidP="006A42AD">
      <w:pPr>
        <w:rPr>
          <w:rFonts w:ascii="Times" w:hAnsi="Times"/>
          <w:sz w:val="20"/>
        </w:rPr>
      </w:pPr>
    </w:p>
    <w:p w14:paraId="155029AB" w14:textId="77777777" w:rsidR="007F09F6" w:rsidRDefault="007F09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
    <w:p w14:paraId="3F5B40EA" w14:textId="77777777" w:rsidR="00A52426" w:rsidRDefault="00A524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r>
        <w:rPr>
          <w:lang w:val="en-GB"/>
        </w:rPr>
        <w:t>Juliet Bellow</w:t>
      </w:r>
    </w:p>
    <w:sectPr w:rsidR="00A52426">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1D1"/>
    <w:rsid w:val="00094A8A"/>
    <w:rsid w:val="000B13F3"/>
    <w:rsid w:val="000F31EB"/>
    <w:rsid w:val="00187972"/>
    <w:rsid w:val="00292744"/>
    <w:rsid w:val="0039786E"/>
    <w:rsid w:val="004B71D1"/>
    <w:rsid w:val="005C137E"/>
    <w:rsid w:val="006A42AD"/>
    <w:rsid w:val="007425A1"/>
    <w:rsid w:val="007B0943"/>
    <w:rsid w:val="007E137E"/>
    <w:rsid w:val="007F09F6"/>
    <w:rsid w:val="00A42FB5"/>
    <w:rsid w:val="00A52426"/>
    <w:rsid w:val="00AD7DE7"/>
    <w:rsid w:val="00BA60CD"/>
    <w:rsid w:val="00BB2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4F074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bl">
    <w:name w:val="lbl"/>
    <w:rsid w:val="006A42AD"/>
  </w:style>
  <w:style w:type="paragraph" w:customStyle="1" w:styleId="BalloonTex1">
    <w:name w:val="Balloon Tex1"/>
    <w:basedOn w:val="Normal"/>
    <w:pPr>
      <w:widowControl w:val="0"/>
    </w:pPr>
    <w:rPr>
      <w:rFonts w:ascii="Tahoma" w:hAnsi="Tahoma"/>
      <w:sz w:val="16"/>
    </w:rPr>
  </w:style>
  <w:style w:type="character" w:customStyle="1" w:styleId="BalloonText1">
    <w:name w:val="Balloon Text1"/>
    <w:rPr>
      <w:sz w:val="2"/>
    </w:rPr>
  </w:style>
  <w:style w:type="character" w:customStyle="1" w:styleId="DefaultPara">
    <w:name w:val="Default Para"/>
    <w:basedOn w:val="DefaultParagraphFont"/>
  </w:style>
  <w:style w:type="character" w:styleId="EndnoteReference">
    <w:name w:val="endnote reference"/>
    <w:semiHidden/>
    <w:rPr>
      <w:vertAlign w:val="superscript"/>
    </w:rPr>
  </w:style>
  <w:style w:type="character" w:customStyle="1" w:styleId="endnoterefe">
    <w:name w:val="endnote refe"/>
    <w:rPr>
      <w:vertAlign w:val="superscript"/>
    </w:rPr>
  </w:style>
  <w:style w:type="paragraph" w:styleId="EndnoteText">
    <w:name w:val="endnote text"/>
    <w:basedOn w:val="Normal"/>
    <w:semiHidden/>
    <w:pPr>
      <w:widowControl w:val="0"/>
    </w:pPr>
    <w:rPr>
      <w:sz w:val="20"/>
    </w:rPr>
  </w:style>
  <w:style w:type="paragraph" w:customStyle="1" w:styleId="endnotetex1">
    <w:name w:val="endnote tex1"/>
    <w:basedOn w:val="Normal"/>
    <w:pPr>
      <w:widowControl w:val="0"/>
    </w:pPr>
    <w:rPr>
      <w:sz w:val="20"/>
    </w:rPr>
  </w:style>
  <w:style w:type="character" w:customStyle="1" w:styleId="EndnoteTextWP">
    <w:name w:val="Endnote Text_WP"/>
    <w:basedOn w:val="DefaultParagraphFont"/>
  </w:style>
  <w:style w:type="character" w:customStyle="1" w:styleId="WPHyperlink">
    <w:name w:val="WP_Hyperlink"/>
    <w:rPr>
      <w:color w:val="0000FF"/>
      <w:u w:val="single"/>
    </w:rPr>
  </w:style>
  <w:style w:type="character" w:customStyle="1" w:styleId="NoList1">
    <w:name w:val="No List1"/>
    <w:basedOn w:val="DefaultParagraphFont"/>
  </w:style>
  <w:style w:type="character" w:customStyle="1" w:styleId="SYSHYPERTEXT">
    <w:name w:val="SYS_HYPERTEXT"/>
    <w:rPr>
      <w:color w:val="0000FF"/>
      <w:u w:val="single"/>
    </w:rPr>
  </w:style>
  <w:style w:type="character" w:styleId="Hyperlink">
    <w:name w:val="Hyperlink"/>
    <w:uiPriority w:val="99"/>
    <w:semiHidden/>
    <w:unhideWhenUsed/>
    <w:rsid w:val="006A42AD"/>
    <w:rPr>
      <w:color w:val="0000FF"/>
      <w:u w:val="single"/>
    </w:rPr>
  </w:style>
  <w:style w:type="character" w:customStyle="1" w:styleId="value">
    <w:name w:val="value"/>
    <w:rsid w:val="006A42AD"/>
  </w:style>
  <w:style w:type="paragraph" w:styleId="BalloonText">
    <w:name w:val="Balloon Text"/>
    <w:basedOn w:val="Normal"/>
    <w:link w:val="BalloonTextChar"/>
    <w:uiPriority w:val="99"/>
    <w:semiHidden/>
    <w:unhideWhenUsed/>
    <w:rsid w:val="00094A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A8A"/>
    <w:rPr>
      <w:rFonts w:ascii="Lucida Grande" w:hAnsi="Lucida Grande" w:cs="Lucida Grande"/>
      <w:sz w:val="18"/>
      <w:szCs w:val="18"/>
    </w:rPr>
  </w:style>
  <w:style w:type="character" w:styleId="CommentReference">
    <w:name w:val="annotation reference"/>
    <w:basedOn w:val="DefaultParagraphFont"/>
    <w:uiPriority w:val="99"/>
    <w:semiHidden/>
    <w:unhideWhenUsed/>
    <w:rsid w:val="00187972"/>
    <w:rPr>
      <w:sz w:val="18"/>
      <w:szCs w:val="18"/>
    </w:rPr>
  </w:style>
  <w:style w:type="paragraph" w:styleId="CommentText">
    <w:name w:val="annotation text"/>
    <w:basedOn w:val="Normal"/>
    <w:link w:val="CommentTextChar"/>
    <w:uiPriority w:val="99"/>
    <w:semiHidden/>
    <w:unhideWhenUsed/>
    <w:rsid w:val="00187972"/>
    <w:rPr>
      <w:szCs w:val="24"/>
    </w:rPr>
  </w:style>
  <w:style w:type="character" w:customStyle="1" w:styleId="CommentTextChar">
    <w:name w:val="Comment Text Char"/>
    <w:basedOn w:val="DefaultParagraphFont"/>
    <w:link w:val="CommentText"/>
    <w:uiPriority w:val="99"/>
    <w:semiHidden/>
    <w:rsid w:val="00187972"/>
    <w:rPr>
      <w:sz w:val="24"/>
      <w:szCs w:val="24"/>
    </w:rPr>
  </w:style>
  <w:style w:type="paragraph" w:styleId="CommentSubject">
    <w:name w:val="annotation subject"/>
    <w:basedOn w:val="CommentText"/>
    <w:next w:val="CommentText"/>
    <w:link w:val="CommentSubjectChar"/>
    <w:uiPriority w:val="99"/>
    <w:semiHidden/>
    <w:unhideWhenUsed/>
    <w:rsid w:val="00187972"/>
    <w:rPr>
      <w:b/>
      <w:bCs/>
      <w:sz w:val="20"/>
      <w:szCs w:val="20"/>
    </w:rPr>
  </w:style>
  <w:style w:type="character" w:customStyle="1" w:styleId="CommentSubjectChar">
    <w:name w:val="Comment Subject Char"/>
    <w:basedOn w:val="CommentTextChar"/>
    <w:link w:val="CommentSubject"/>
    <w:uiPriority w:val="99"/>
    <w:semiHidden/>
    <w:rsid w:val="00187972"/>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bl">
    <w:name w:val="lbl"/>
    <w:rsid w:val="006A42AD"/>
  </w:style>
  <w:style w:type="paragraph" w:customStyle="1" w:styleId="BalloonTex1">
    <w:name w:val="Balloon Tex1"/>
    <w:basedOn w:val="Normal"/>
    <w:pPr>
      <w:widowControl w:val="0"/>
    </w:pPr>
    <w:rPr>
      <w:rFonts w:ascii="Tahoma" w:hAnsi="Tahoma"/>
      <w:sz w:val="16"/>
    </w:rPr>
  </w:style>
  <w:style w:type="character" w:customStyle="1" w:styleId="BalloonText1">
    <w:name w:val="Balloon Text1"/>
    <w:rPr>
      <w:sz w:val="2"/>
    </w:rPr>
  </w:style>
  <w:style w:type="character" w:customStyle="1" w:styleId="DefaultPara">
    <w:name w:val="Default Para"/>
    <w:basedOn w:val="DefaultParagraphFont"/>
  </w:style>
  <w:style w:type="character" w:styleId="EndnoteReference">
    <w:name w:val="endnote reference"/>
    <w:semiHidden/>
    <w:rPr>
      <w:vertAlign w:val="superscript"/>
    </w:rPr>
  </w:style>
  <w:style w:type="character" w:customStyle="1" w:styleId="endnoterefe">
    <w:name w:val="endnote refe"/>
    <w:rPr>
      <w:vertAlign w:val="superscript"/>
    </w:rPr>
  </w:style>
  <w:style w:type="paragraph" w:styleId="EndnoteText">
    <w:name w:val="endnote text"/>
    <w:basedOn w:val="Normal"/>
    <w:semiHidden/>
    <w:pPr>
      <w:widowControl w:val="0"/>
    </w:pPr>
    <w:rPr>
      <w:sz w:val="20"/>
    </w:rPr>
  </w:style>
  <w:style w:type="paragraph" w:customStyle="1" w:styleId="endnotetex1">
    <w:name w:val="endnote tex1"/>
    <w:basedOn w:val="Normal"/>
    <w:pPr>
      <w:widowControl w:val="0"/>
    </w:pPr>
    <w:rPr>
      <w:sz w:val="20"/>
    </w:rPr>
  </w:style>
  <w:style w:type="character" w:customStyle="1" w:styleId="EndnoteTextWP">
    <w:name w:val="Endnote Text_WP"/>
    <w:basedOn w:val="DefaultParagraphFont"/>
  </w:style>
  <w:style w:type="character" w:customStyle="1" w:styleId="WPHyperlink">
    <w:name w:val="WP_Hyperlink"/>
    <w:rPr>
      <w:color w:val="0000FF"/>
      <w:u w:val="single"/>
    </w:rPr>
  </w:style>
  <w:style w:type="character" w:customStyle="1" w:styleId="NoList1">
    <w:name w:val="No List1"/>
    <w:basedOn w:val="DefaultParagraphFont"/>
  </w:style>
  <w:style w:type="character" w:customStyle="1" w:styleId="SYSHYPERTEXT">
    <w:name w:val="SYS_HYPERTEXT"/>
    <w:rPr>
      <w:color w:val="0000FF"/>
      <w:u w:val="single"/>
    </w:rPr>
  </w:style>
  <w:style w:type="character" w:styleId="Hyperlink">
    <w:name w:val="Hyperlink"/>
    <w:uiPriority w:val="99"/>
    <w:semiHidden/>
    <w:unhideWhenUsed/>
    <w:rsid w:val="006A42AD"/>
    <w:rPr>
      <w:color w:val="0000FF"/>
      <w:u w:val="single"/>
    </w:rPr>
  </w:style>
  <w:style w:type="character" w:customStyle="1" w:styleId="value">
    <w:name w:val="value"/>
    <w:rsid w:val="006A42AD"/>
  </w:style>
  <w:style w:type="paragraph" w:styleId="BalloonText">
    <w:name w:val="Balloon Text"/>
    <w:basedOn w:val="Normal"/>
    <w:link w:val="BalloonTextChar"/>
    <w:uiPriority w:val="99"/>
    <w:semiHidden/>
    <w:unhideWhenUsed/>
    <w:rsid w:val="00094A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A8A"/>
    <w:rPr>
      <w:rFonts w:ascii="Lucida Grande" w:hAnsi="Lucida Grande" w:cs="Lucida Grande"/>
      <w:sz w:val="18"/>
      <w:szCs w:val="18"/>
    </w:rPr>
  </w:style>
  <w:style w:type="character" w:styleId="CommentReference">
    <w:name w:val="annotation reference"/>
    <w:basedOn w:val="DefaultParagraphFont"/>
    <w:uiPriority w:val="99"/>
    <w:semiHidden/>
    <w:unhideWhenUsed/>
    <w:rsid w:val="00187972"/>
    <w:rPr>
      <w:sz w:val="18"/>
      <w:szCs w:val="18"/>
    </w:rPr>
  </w:style>
  <w:style w:type="paragraph" w:styleId="CommentText">
    <w:name w:val="annotation text"/>
    <w:basedOn w:val="Normal"/>
    <w:link w:val="CommentTextChar"/>
    <w:uiPriority w:val="99"/>
    <w:semiHidden/>
    <w:unhideWhenUsed/>
    <w:rsid w:val="00187972"/>
    <w:rPr>
      <w:szCs w:val="24"/>
    </w:rPr>
  </w:style>
  <w:style w:type="character" w:customStyle="1" w:styleId="CommentTextChar">
    <w:name w:val="Comment Text Char"/>
    <w:basedOn w:val="DefaultParagraphFont"/>
    <w:link w:val="CommentText"/>
    <w:uiPriority w:val="99"/>
    <w:semiHidden/>
    <w:rsid w:val="00187972"/>
    <w:rPr>
      <w:sz w:val="24"/>
      <w:szCs w:val="24"/>
    </w:rPr>
  </w:style>
  <w:style w:type="paragraph" w:styleId="CommentSubject">
    <w:name w:val="annotation subject"/>
    <w:basedOn w:val="CommentText"/>
    <w:next w:val="CommentText"/>
    <w:link w:val="CommentSubjectChar"/>
    <w:uiPriority w:val="99"/>
    <w:semiHidden/>
    <w:unhideWhenUsed/>
    <w:rsid w:val="00187972"/>
    <w:rPr>
      <w:b/>
      <w:bCs/>
      <w:sz w:val="20"/>
      <w:szCs w:val="20"/>
    </w:rPr>
  </w:style>
  <w:style w:type="character" w:customStyle="1" w:styleId="CommentSubjectChar">
    <w:name w:val="Comment Subject Char"/>
    <w:basedOn w:val="CommentTextChar"/>
    <w:link w:val="CommentSubject"/>
    <w:uiPriority w:val="99"/>
    <w:semiHidden/>
    <w:rsid w:val="0018797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5789">
      <w:bodyDiv w:val="1"/>
      <w:marLeft w:val="0"/>
      <w:marRight w:val="0"/>
      <w:marTop w:val="0"/>
      <w:marBottom w:val="0"/>
      <w:divBdr>
        <w:top w:val="none" w:sz="0" w:space="0" w:color="auto"/>
        <w:left w:val="none" w:sz="0" w:space="0" w:color="auto"/>
        <w:bottom w:val="none" w:sz="0" w:space="0" w:color="auto"/>
        <w:right w:val="none" w:sz="0" w:space="0" w:color="auto"/>
      </w:divBdr>
      <w:divsChild>
        <w:div w:id="1324436061">
          <w:marLeft w:val="0"/>
          <w:marRight w:val="0"/>
          <w:marTop w:val="0"/>
          <w:marBottom w:val="0"/>
          <w:divBdr>
            <w:top w:val="none" w:sz="0" w:space="0" w:color="auto"/>
            <w:left w:val="none" w:sz="0" w:space="0" w:color="auto"/>
            <w:bottom w:val="none" w:sz="0" w:space="0" w:color="auto"/>
            <w:right w:val="none" w:sz="0" w:space="0" w:color="auto"/>
          </w:divBdr>
          <w:divsChild>
            <w:div w:id="2089158028">
              <w:marLeft w:val="0"/>
              <w:marRight w:val="0"/>
              <w:marTop w:val="0"/>
              <w:marBottom w:val="0"/>
              <w:divBdr>
                <w:top w:val="none" w:sz="0" w:space="0" w:color="auto"/>
                <w:left w:val="none" w:sz="0" w:space="0" w:color="auto"/>
                <w:bottom w:val="none" w:sz="0" w:space="0" w:color="auto"/>
                <w:right w:val="none" w:sz="0" w:space="0" w:color="auto"/>
              </w:divBdr>
            </w:div>
          </w:divsChild>
        </w:div>
        <w:div w:id="2000571824">
          <w:marLeft w:val="0"/>
          <w:marRight w:val="0"/>
          <w:marTop w:val="0"/>
          <w:marBottom w:val="0"/>
          <w:divBdr>
            <w:top w:val="none" w:sz="0" w:space="0" w:color="auto"/>
            <w:left w:val="none" w:sz="0" w:space="0" w:color="auto"/>
            <w:bottom w:val="none" w:sz="0" w:space="0" w:color="auto"/>
            <w:right w:val="none" w:sz="0" w:space="0" w:color="auto"/>
          </w:divBdr>
          <w:divsChild>
            <w:div w:id="57561949">
              <w:marLeft w:val="0"/>
              <w:marRight w:val="0"/>
              <w:marTop w:val="0"/>
              <w:marBottom w:val="0"/>
              <w:divBdr>
                <w:top w:val="none" w:sz="0" w:space="0" w:color="auto"/>
                <w:left w:val="none" w:sz="0" w:space="0" w:color="auto"/>
                <w:bottom w:val="none" w:sz="0" w:space="0" w:color="auto"/>
                <w:right w:val="none" w:sz="0" w:space="0" w:color="auto"/>
              </w:divBdr>
            </w:div>
            <w:div w:id="206963474">
              <w:marLeft w:val="0"/>
              <w:marRight w:val="0"/>
              <w:marTop w:val="0"/>
              <w:marBottom w:val="0"/>
              <w:divBdr>
                <w:top w:val="none" w:sz="0" w:space="0" w:color="auto"/>
                <w:left w:val="none" w:sz="0" w:space="0" w:color="auto"/>
                <w:bottom w:val="none" w:sz="0" w:space="0" w:color="auto"/>
                <w:right w:val="none" w:sz="0" w:space="0" w:color="auto"/>
              </w:divBdr>
            </w:div>
            <w:div w:id="311494697">
              <w:marLeft w:val="0"/>
              <w:marRight w:val="0"/>
              <w:marTop w:val="0"/>
              <w:marBottom w:val="0"/>
              <w:divBdr>
                <w:top w:val="none" w:sz="0" w:space="0" w:color="auto"/>
                <w:left w:val="none" w:sz="0" w:space="0" w:color="auto"/>
                <w:bottom w:val="none" w:sz="0" w:space="0" w:color="auto"/>
                <w:right w:val="none" w:sz="0" w:space="0" w:color="auto"/>
              </w:divBdr>
              <w:divsChild>
                <w:div w:id="705103623">
                  <w:marLeft w:val="0"/>
                  <w:marRight w:val="0"/>
                  <w:marTop w:val="0"/>
                  <w:marBottom w:val="0"/>
                  <w:divBdr>
                    <w:top w:val="none" w:sz="0" w:space="0" w:color="auto"/>
                    <w:left w:val="none" w:sz="0" w:space="0" w:color="auto"/>
                    <w:bottom w:val="none" w:sz="0" w:space="0" w:color="auto"/>
                    <w:right w:val="none" w:sz="0" w:space="0" w:color="auto"/>
                  </w:divBdr>
                  <w:divsChild>
                    <w:div w:id="170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5075">
              <w:marLeft w:val="0"/>
              <w:marRight w:val="0"/>
              <w:marTop w:val="0"/>
              <w:marBottom w:val="0"/>
              <w:divBdr>
                <w:top w:val="none" w:sz="0" w:space="0" w:color="auto"/>
                <w:left w:val="none" w:sz="0" w:space="0" w:color="auto"/>
                <w:bottom w:val="none" w:sz="0" w:space="0" w:color="auto"/>
                <w:right w:val="none" w:sz="0" w:space="0" w:color="auto"/>
              </w:divBdr>
            </w:div>
            <w:div w:id="771508384">
              <w:marLeft w:val="0"/>
              <w:marRight w:val="0"/>
              <w:marTop w:val="0"/>
              <w:marBottom w:val="0"/>
              <w:divBdr>
                <w:top w:val="none" w:sz="0" w:space="0" w:color="auto"/>
                <w:left w:val="none" w:sz="0" w:space="0" w:color="auto"/>
                <w:bottom w:val="none" w:sz="0" w:space="0" w:color="auto"/>
                <w:right w:val="none" w:sz="0" w:space="0" w:color="auto"/>
              </w:divBdr>
            </w:div>
            <w:div w:id="1226143729">
              <w:marLeft w:val="0"/>
              <w:marRight w:val="0"/>
              <w:marTop w:val="0"/>
              <w:marBottom w:val="0"/>
              <w:divBdr>
                <w:top w:val="none" w:sz="0" w:space="0" w:color="auto"/>
                <w:left w:val="none" w:sz="0" w:space="0" w:color="auto"/>
                <w:bottom w:val="none" w:sz="0" w:space="0" w:color="auto"/>
                <w:right w:val="none" w:sz="0" w:space="0" w:color="auto"/>
              </w:divBdr>
            </w:div>
            <w:div w:id="1301879298">
              <w:marLeft w:val="0"/>
              <w:marRight w:val="0"/>
              <w:marTop w:val="0"/>
              <w:marBottom w:val="0"/>
              <w:divBdr>
                <w:top w:val="none" w:sz="0" w:space="0" w:color="auto"/>
                <w:left w:val="none" w:sz="0" w:space="0" w:color="auto"/>
                <w:bottom w:val="none" w:sz="0" w:space="0" w:color="auto"/>
                <w:right w:val="none" w:sz="0" w:space="0" w:color="auto"/>
              </w:divBdr>
            </w:div>
            <w:div w:id="1462311434">
              <w:marLeft w:val="0"/>
              <w:marRight w:val="0"/>
              <w:marTop w:val="0"/>
              <w:marBottom w:val="0"/>
              <w:divBdr>
                <w:top w:val="none" w:sz="0" w:space="0" w:color="auto"/>
                <w:left w:val="none" w:sz="0" w:space="0" w:color="auto"/>
                <w:bottom w:val="none" w:sz="0" w:space="0" w:color="auto"/>
                <w:right w:val="none" w:sz="0" w:space="0" w:color="auto"/>
              </w:divBdr>
            </w:div>
            <w:div w:id="1910459633">
              <w:marLeft w:val="0"/>
              <w:marRight w:val="0"/>
              <w:marTop w:val="0"/>
              <w:marBottom w:val="0"/>
              <w:divBdr>
                <w:top w:val="none" w:sz="0" w:space="0" w:color="auto"/>
                <w:left w:val="none" w:sz="0" w:space="0" w:color="auto"/>
                <w:bottom w:val="none" w:sz="0" w:space="0" w:color="auto"/>
                <w:right w:val="none" w:sz="0" w:space="0" w:color="auto"/>
              </w:divBdr>
            </w:div>
            <w:div w:id="1963069898">
              <w:marLeft w:val="0"/>
              <w:marRight w:val="0"/>
              <w:marTop w:val="0"/>
              <w:marBottom w:val="0"/>
              <w:divBdr>
                <w:top w:val="none" w:sz="0" w:space="0" w:color="auto"/>
                <w:left w:val="none" w:sz="0" w:space="0" w:color="auto"/>
                <w:bottom w:val="none" w:sz="0" w:space="0" w:color="auto"/>
                <w:right w:val="none" w:sz="0" w:space="0" w:color="auto"/>
              </w:divBdr>
            </w:div>
            <w:div w:id="19784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787">
      <w:bodyDiv w:val="1"/>
      <w:marLeft w:val="0"/>
      <w:marRight w:val="0"/>
      <w:marTop w:val="0"/>
      <w:marBottom w:val="0"/>
      <w:divBdr>
        <w:top w:val="none" w:sz="0" w:space="0" w:color="auto"/>
        <w:left w:val="none" w:sz="0" w:space="0" w:color="auto"/>
        <w:bottom w:val="none" w:sz="0" w:space="0" w:color="auto"/>
        <w:right w:val="none" w:sz="0" w:space="0" w:color="auto"/>
      </w:divBdr>
      <w:divsChild>
        <w:div w:id="1052466600">
          <w:marLeft w:val="0"/>
          <w:marRight w:val="0"/>
          <w:marTop w:val="0"/>
          <w:marBottom w:val="0"/>
          <w:divBdr>
            <w:top w:val="none" w:sz="0" w:space="0" w:color="auto"/>
            <w:left w:val="none" w:sz="0" w:space="0" w:color="auto"/>
            <w:bottom w:val="none" w:sz="0" w:space="0" w:color="auto"/>
            <w:right w:val="none" w:sz="0" w:space="0" w:color="auto"/>
          </w:divBdr>
          <w:divsChild>
            <w:div w:id="188494592">
              <w:marLeft w:val="0"/>
              <w:marRight w:val="0"/>
              <w:marTop w:val="0"/>
              <w:marBottom w:val="0"/>
              <w:divBdr>
                <w:top w:val="none" w:sz="0" w:space="0" w:color="auto"/>
                <w:left w:val="none" w:sz="0" w:space="0" w:color="auto"/>
                <w:bottom w:val="none" w:sz="0" w:space="0" w:color="auto"/>
                <w:right w:val="none" w:sz="0" w:space="0" w:color="auto"/>
              </w:divBdr>
            </w:div>
            <w:div w:id="363408969">
              <w:marLeft w:val="0"/>
              <w:marRight w:val="0"/>
              <w:marTop w:val="0"/>
              <w:marBottom w:val="0"/>
              <w:divBdr>
                <w:top w:val="none" w:sz="0" w:space="0" w:color="auto"/>
                <w:left w:val="none" w:sz="0" w:space="0" w:color="auto"/>
                <w:bottom w:val="none" w:sz="0" w:space="0" w:color="auto"/>
                <w:right w:val="none" w:sz="0" w:space="0" w:color="auto"/>
              </w:divBdr>
            </w:div>
            <w:div w:id="452796364">
              <w:marLeft w:val="0"/>
              <w:marRight w:val="0"/>
              <w:marTop w:val="0"/>
              <w:marBottom w:val="0"/>
              <w:divBdr>
                <w:top w:val="none" w:sz="0" w:space="0" w:color="auto"/>
                <w:left w:val="none" w:sz="0" w:space="0" w:color="auto"/>
                <w:bottom w:val="none" w:sz="0" w:space="0" w:color="auto"/>
                <w:right w:val="none" w:sz="0" w:space="0" w:color="auto"/>
              </w:divBdr>
            </w:div>
            <w:div w:id="809830077">
              <w:marLeft w:val="0"/>
              <w:marRight w:val="0"/>
              <w:marTop w:val="0"/>
              <w:marBottom w:val="0"/>
              <w:divBdr>
                <w:top w:val="none" w:sz="0" w:space="0" w:color="auto"/>
                <w:left w:val="none" w:sz="0" w:space="0" w:color="auto"/>
                <w:bottom w:val="none" w:sz="0" w:space="0" w:color="auto"/>
                <w:right w:val="none" w:sz="0" w:space="0" w:color="auto"/>
              </w:divBdr>
            </w:div>
            <w:div w:id="1127159628">
              <w:marLeft w:val="0"/>
              <w:marRight w:val="0"/>
              <w:marTop w:val="0"/>
              <w:marBottom w:val="0"/>
              <w:divBdr>
                <w:top w:val="none" w:sz="0" w:space="0" w:color="auto"/>
                <w:left w:val="none" w:sz="0" w:space="0" w:color="auto"/>
                <w:bottom w:val="none" w:sz="0" w:space="0" w:color="auto"/>
                <w:right w:val="none" w:sz="0" w:space="0" w:color="auto"/>
              </w:divBdr>
            </w:div>
            <w:div w:id="1169835694">
              <w:marLeft w:val="0"/>
              <w:marRight w:val="0"/>
              <w:marTop w:val="0"/>
              <w:marBottom w:val="0"/>
              <w:divBdr>
                <w:top w:val="none" w:sz="0" w:space="0" w:color="auto"/>
                <w:left w:val="none" w:sz="0" w:space="0" w:color="auto"/>
                <w:bottom w:val="none" w:sz="0" w:space="0" w:color="auto"/>
                <w:right w:val="none" w:sz="0" w:space="0" w:color="auto"/>
              </w:divBdr>
            </w:div>
            <w:div w:id="1246376222">
              <w:marLeft w:val="0"/>
              <w:marRight w:val="0"/>
              <w:marTop w:val="0"/>
              <w:marBottom w:val="0"/>
              <w:divBdr>
                <w:top w:val="none" w:sz="0" w:space="0" w:color="auto"/>
                <w:left w:val="none" w:sz="0" w:space="0" w:color="auto"/>
                <w:bottom w:val="none" w:sz="0" w:space="0" w:color="auto"/>
                <w:right w:val="none" w:sz="0" w:space="0" w:color="auto"/>
              </w:divBdr>
            </w:div>
            <w:div w:id="1265500557">
              <w:marLeft w:val="0"/>
              <w:marRight w:val="0"/>
              <w:marTop w:val="0"/>
              <w:marBottom w:val="0"/>
              <w:divBdr>
                <w:top w:val="none" w:sz="0" w:space="0" w:color="auto"/>
                <w:left w:val="none" w:sz="0" w:space="0" w:color="auto"/>
                <w:bottom w:val="none" w:sz="0" w:space="0" w:color="auto"/>
                <w:right w:val="none" w:sz="0" w:space="0" w:color="auto"/>
              </w:divBdr>
              <w:divsChild>
                <w:div w:id="1255434579">
                  <w:marLeft w:val="0"/>
                  <w:marRight w:val="0"/>
                  <w:marTop w:val="0"/>
                  <w:marBottom w:val="0"/>
                  <w:divBdr>
                    <w:top w:val="none" w:sz="0" w:space="0" w:color="auto"/>
                    <w:left w:val="none" w:sz="0" w:space="0" w:color="auto"/>
                    <w:bottom w:val="none" w:sz="0" w:space="0" w:color="auto"/>
                    <w:right w:val="none" w:sz="0" w:space="0" w:color="auto"/>
                  </w:divBdr>
                  <w:divsChild>
                    <w:div w:id="735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5941">
              <w:marLeft w:val="0"/>
              <w:marRight w:val="0"/>
              <w:marTop w:val="0"/>
              <w:marBottom w:val="0"/>
              <w:divBdr>
                <w:top w:val="none" w:sz="0" w:space="0" w:color="auto"/>
                <w:left w:val="none" w:sz="0" w:space="0" w:color="auto"/>
                <w:bottom w:val="none" w:sz="0" w:space="0" w:color="auto"/>
                <w:right w:val="none" w:sz="0" w:space="0" w:color="auto"/>
              </w:divBdr>
            </w:div>
            <w:div w:id="1944847215">
              <w:marLeft w:val="0"/>
              <w:marRight w:val="0"/>
              <w:marTop w:val="0"/>
              <w:marBottom w:val="0"/>
              <w:divBdr>
                <w:top w:val="none" w:sz="0" w:space="0" w:color="auto"/>
                <w:left w:val="none" w:sz="0" w:space="0" w:color="auto"/>
                <w:bottom w:val="none" w:sz="0" w:space="0" w:color="auto"/>
                <w:right w:val="none" w:sz="0" w:space="0" w:color="auto"/>
              </w:divBdr>
            </w:div>
            <w:div w:id="1986927324">
              <w:marLeft w:val="0"/>
              <w:marRight w:val="0"/>
              <w:marTop w:val="0"/>
              <w:marBottom w:val="0"/>
              <w:divBdr>
                <w:top w:val="none" w:sz="0" w:space="0" w:color="auto"/>
                <w:left w:val="none" w:sz="0" w:space="0" w:color="auto"/>
                <w:bottom w:val="none" w:sz="0" w:space="0" w:color="auto"/>
                <w:right w:val="none" w:sz="0" w:space="0" w:color="auto"/>
              </w:divBdr>
            </w:div>
          </w:divsChild>
        </w:div>
        <w:div w:id="1775325995">
          <w:marLeft w:val="0"/>
          <w:marRight w:val="0"/>
          <w:marTop w:val="0"/>
          <w:marBottom w:val="0"/>
          <w:divBdr>
            <w:top w:val="none" w:sz="0" w:space="0" w:color="auto"/>
            <w:left w:val="none" w:sz="0" w:space="0" w:color="auto"/>
            <w:bottom w:val="none" w:sz="0" w:space="0" w:color="auto"/>
            <w:right w:val="none" w:sz="0" w:space="0" w:color="auto"/>
          </w:divBdr>
          <w:divsChild>
            <w:div w:id="4978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file://localhost/Volumes/EDITING2/REM/EAB_Garafola/Entries_LG/Parade/http://www.artres.com/Doc/ART/Media/TR3/S/K/Z/E/ART371783.jpg" TargetMode="External"/><Relationship Id="rId12" Type="http://schemas.openxmlformats.org/officeDocument/2006/relationships/hyperlink" Target="javascript:Matrix3.mbClick=false;void(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_Chq1Ty0nyE" TargetMode="External"/><Relationship Id="rId6" Type="http://schemas.openxmlformats.org/officeDocument/2006/relationships/hyperlink" Target="http://video.pbs.org/video/2320387369" TargetMode="External"/><Relationship Id="rId7" Type="http://schemas.openxmlformats.org/officeDocument/2006/relationships/image" Target="media/image1.jpeg"/><Relationship Id="rId8" Type="http://schemas.openxmlformats.org/officeDocument/2006/relationships/image" Target="file://localhost/Volumes/EDITING2/REM/EAB_Garafola/Entries_LG/Parade/http://www.artres.com/Doc/ART/Media/TR3/S/K/F/M/ART160567.jpg" TargetMode="External"/><Relationship Id="rId9" Type="http://schemas.openxmlformats.org/officeDocument/2006/relationships/hyperlink" Target="javascript:Matrix3.mbClick=false;void(0);"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1347</Words>
  <Characters>7684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Parade (Paris, Théâtre du Châtelet, 18 May 1917) </vt:lpstr>
    </vt:vector>
  </TitlesOfParts>
  <Company/>
  <LinksUpToDate>false</LinksUpToDate>
  <CharactersWithSpaces>9013</CharactersWithSpaces>
  <SharedDoc>false</SharedDoc>
  <HLinks>
    <vt:vector size="24" baseType="variant">
      <vt:variant>
        <vt:i4>4194384</vt:i4>
      </vt:variant>
      <vt:variant>
        <vt:i4>17</vt:i4>
      </vt:variant>
      <vt:variant>
        <vt:i4>0</vt:i4>
      </vt:variant>
      <vt:variant>
        <vt:i4>5</vt:i4>
      </vt:variant>
      <vt:variant>
        <vt:lpwstr>javascript:Matrix3.mbClick=false;void(0);</vt:lpwstr>
      </vt:variant>
      <vt:variant>
        <vt:lpwstr/>
      </vt:variant>
      <vt:variant>
        <vt:i4>4194384</vt:i4>
      </vt:variant>
      <vt:variant>
        <vt:i4>11</vt:i4>
      </vt:variant>
      <vt:variant>
        <vt:i4>0</vt:i4>
      </vt:variant>
      <vt:variant>
        <vt:i4>5</vt:i4>
      </vt:variant>
      <vt:variant>
        <vt:lpwstr>javascript:Matrix3.mbClick=false;void(0);</vt:lpwstr>
      </vt:variant>
      <vt:variant>
        <vt:lpwstr/>
      </vt:variant>
      <vt:variant>
        <vt:i4>1179665</vt:i4>
      </vt:variant>
      <vt:variant>
        <vt:i4>5</vt:i4>
      </vt:variant>
      <vt:variant>
        <vt:i4>0</vt:i4>
      </vt:variant>
      <vt:variant>
        <vt:i4>5</vt:i4>
      </vt:variant>
      <vt:variant>
        <vt:lpwstr>http://video.pbs.org/video/2320387369</vt:lpwstr>
      </vt:variant>
      <vt:variant>
        <vt:lpwstr/>
      </vt:variant>
      <vt:variant>
        <vt:i4>5242984</vt:i4>
      </vt:variant>
      <vt:variant>
        <vt:i4>2</vt:i4>
      </vt:variant>
      <vt:variant>
        <vt:i4>0</vt:i4>
      </vt:variant>
      <vt:variant>
        <vt:i4>5</vt:i4>
      </vt:variant>
      <vt:variant>
        <vt:lpwstr>http://www.youtube.com/watch?v=_Chq1Ty0nyE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Parade (Paris, Théâtre du Châtelet, 18 May 1917) </dc:title>
  <dc:subject/>
  <dc:creator>Juliet Bellow</dc:creator>
  <cp:keywords/>
  <cp:lastModifiedBy>Allana Lindgren</cp:lastModifiedBy>
  <cp:revision>3</cp:revision>
  <cp:lastPrinted>2013-01-09T12:20:00Z</cp:lastPrinted>
  <dcterms:created xsi:type="dcterms:W3CDTF">2013-01-09T04:22:00Z</dcterms:created>
  <dcterms:modified xsi:type="dcterms:W3CDTF">2013-01-21T05:06:00Z</dcterms:modified>
</cp:coreProperties>
</file>