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A75" w:rsidRDefault="00BA3C9F" w:rsidP="002C5DBF">
      <w:pPr>
        <w:spacing w:after="0" w:line="480" w:lineRule="auto"/>
        <w:contextualSpacing/>
        <w:rPr>
          <w:rFonts w:ascii="Times New Roman" w:hAnsi="Times New Roman" w:cs="Times New Roman"/>
          <w:sz w:val="24"/>
          <w:szCs w:val="24"/>
        </w:rPr>
      </w:pPr>
      <w:r w:rsidRPr="003E4D61">
        <w:rPr>
          <w:rFonts w:ascii="Times New Roman" w:hAnsi="Times New Roman" w:cs="Times New Roman"/>
          <w:b/>
          <w:sz w:val="24"/>
          <w:szCs w:val="24"/>
        </w:rPr>
        <w:t>Wilson</w:t>
      </w:r>
      <w:r w:rsidR="00341CC7">
        <w:rPr>
          <w:rFonts w:ascii="Times New Roman" w:hAnsi="Times New Roman" w:cs="Times New Roman"/>
          <w:b/>
          <w:sz w:val="24"/>
          <w:szCs w:val="24"/>
        </w:rPr>
        <w:t>,</w:t>
      </w:r>
      <w:r w:rsidR="00DF2E9F">
        <w:rPr>
          <w:rFonts w:ascii="Times New Roman" w:hAnsi="Times New Roman" w:cs="Times New Roman"/>
          <w:b/>
          <w:sz w:val="24"/>
          <w:szCs w:val="24"/>
        </w:rPr>
        <w:t xml:space="preserve"> </w:t>
      </w:r>
      <w:r w:rsidR="00341CC7" w:rsidRPr="003E4D61">
        <w:rPr>
          <w:rFonts w:ascii="Times New Roman" w:hAnsi="Times New Roman" w:cs="Times New Roman"/>
          <w:b/>
          <w:sz w:val="24"/>
          <w:szCs w:val="24"/>
        </w:rPr>
        <w:t xml:space="preserve">Edmund </w:t>
      </w:r>
      <w:r w:rsidR="00EA1DD5" w:rsidRPr="00EA1DD5">
        <w:rPr>
          <w:rFonts w:ascii="Times New Roman" w:hAnsi="Times New Roman" w:cs="Times New Roman"/>
          <w:b/>
          <w:sz w:val="24"/>
          <w:szCs w:val="24"/>
        </w:rPr>
        <w:t>(1895-1972</w:t>
      </w:r>
      <w:r w:rsidR="00600A75" w:rsidRPr="00600A75">
        <w:rPr>
          <w:rFonts w:ascii="Times New Roman" w:hAnsi="Times New Roman" w:cs="Times New Roman"/>
          <w:b/>
          <w:sz w:val="24"/>
          <w:szCs w:val="24"/>
        </w:rPr>
        <w:t>)</w:t>
      </w:r>
    </w:p>
    <w:p w:rsidR="002C5DBF" w:rsidRDefault="00600A75" w:rsidP="002C5DB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American literary critic, editor, playwright, novelist and journalist Edmund Wilson</w:t>
      </w:r>
      <w:r w:rsidR="00590743">
        <w:rPr>
          <w:rFonts w:ascii="Times New Roman" w:hAnsi="Times New Roman" w:cs="Times New Roman"/>
          <w:sz w:val="24"/>
          <w:szCs w:val="24"/>
        </w:rPr>
        <w:t>’s</w:t>
      </w:r>
      <w:r>
        <w:rPr>
          <w:rFonts w:ascii="Times New Roman" w:hAnsi="Times New Roman" w:cs="Times New Roman"/>
          <w:sz w:val="24"/>
          <w:szCs w:val="24"/>
        </w:rPr>
        <w:t xml:space="preserve"> </w:t>
      </w:r>
      <w:r w:rsidR="002C5DBF">
        <w:rPr>
          <w:rFonts w:ascii="Times New Roman" w:hAnsi="Times New Roman" w:cs="Times New Roman"/>
          <w:sz w:val="24"/>
          <w:szCs w:val="24"/>
        </w:rPr>
        <w:t>key critical texts trace the development of twentieth-century Anglo-American writing</w:t>
      </w:r>
      <w:r>
        <w:rPr>
          <w:rFonts w:ascii="Times New Roman" w:hAnsi="Times New Roman" w:cs="Times New Roman"/>
          <w:sz w:val="24"/>
          <w:szCs w:val="24"/>
        </w:rPr>
        <w:t xml:space="preserve">. Wilson’s </w:t>
      </w:r>
      <w:r w:rsidRPr="00D31FD3">
        <w:rPr>
          <w:rFonts w:ascii="Times New Roman" w:hAnsi="Times New Roman" w:cs="Times New Roman"/>
          <w:i/>
          <w:sz w:val="24"/>
          <w:szCs w:val="24"/>
        </w:rPr>
        <w:t>Axel’s Castle</w:t>
      </w:r>
      <w:r>
        <w:rPr>
          <w:rFonts w:ascii="Times New Roman" w:hAnsi="Times New Roman" w:cs="Times New Roman"/>
          <w:i/>
          <w:sz w:val="24"/>
          <w:szCs w:val="24"/>
        </w:rPr>
        <w:t>: A Study in the Imaginative Literature of 1870-1930</w:t>
      </w:r>
      <w:r>
        <w:rPr>
          <w:rFonts w:ascii="Times New Roman" w:hAnsi="Times New Roman" w:cs="Times New Roman"/>
          <w:sz w:val="24"/>
          <w:szCs w:val="24"/>
        </w:rPr>
        <w:t xml:space="preserve"> (1931), t</w:t>
      </w:r>
      <w:bookmarkStart w:id="0" w:name="_GoBack"/>
      <w:r>
        <w:rPr>
          <w:rFonts w:ascii="Times New Roman" w:hAnsi="Times New Roman" w:cs="Times New Roman"/>
          <w:sz w:val="24"/>
          <w:szCs w:val="24"/>
        </w:rPr>
        <w:t>h</w:t>
      </w:r>
      <w:bookmarkEnd w:id="0"/>
      <w:r>
        <w:rPr>
          <w:rFonts w:ascii="Times New Roman" w:hAnsi="Times New Roman" w:cs="Times New Roman"/>
          <w:sz w:val="24"/>
          <w:szCs w:val="24"/>
        </w:rPr>
        <w:t>rough which a ‘generation discovered modern literature’ (</w:t>
      </w:r>
      <w:proofErr w:type="spellStart"/>
      <w:r>
        <w:rPr>
          <w:rFonts w:ascii="Times New Roman" w:hAnsi="Times New Roman" w:cs="Times New Roman"/>
          <w:sz w:val="24"/>
          <w:szCs w:val="24"/>
        </w:rPr>
        <w:t>Dabney</w:t>
      </w:r>
      <w:proofErr w:type="spellEnd"/>
      <w:r>
        <w:rPr>
          <w:rFonts w:ascii="Times New Roman" w:hAnsi="Times New Roman" w:cs="Times New Roman"/>
          <w:sz w:val="24"/>
          <w:szCs w:val="24"/>
        </w:rPr>
        <w:t xml:space="preserve"> 158), was the culmination of his first and most influential period as an arbiter of cultural taste. Charting its authors’ absorption of </w:t>
      </w:r>
      <w:r w:rsidRPr="002C5DBF">
        <w:rPr>
          <w:rFonts w:ascii="Times New Roman" w:hAnsi="Times New Roman" w:cs="Times New Roman"/>
          <w:sz w:val="24"/>
          <w:szCs w:val="24"/>
        </w:rPr>
        <w:t>Symbolist</w:t>
      </w:r>
      <w:r>
        <w:rPr>
          <w:rFonts w:ascii="Times New Roman" w:hAnsi="Times New Roman" w:cs="Times New Roman"/>
          <w:sz w:val="24"/>
          <w:szCs w:val="24"/>
        </w:rPr>
        <w:t xml:space="preserve"> technique, particularly their privileging of image and the formal properties of music, and its consequent impact on readership, Wilson found aesthetic unity in writing which eschewed the narrative connectives readers of prose and poetry had come to expect. Thus he grounded his survey of Proust, Joyce, Stein, Yeats and others via portraits of each author: portraits established within the cultural and historical determinants of the author’s experience and career-long development.  </w:t>
      </w:r>
      <w:proofErr w:type="gramStart"/>
      <w:r>
        <w:rPr>
          <w:rFonts w:ascii="Times New Roman" w:hAnsi="Times New Roman" w:cs="Times New Roman"/>
          <w:sz w:val="24"/>
          <w:szCs w:val="24"/>
        </w:rPr>
        <w:t xml:space="preserve">Taking a leftward turn from literary to social criticism, </w:t>
      </w:r>
      <w:r w:rsidRPr="00874B43">
        <w:rPr>
          <w:rFonts w:ascii="Times New Roman" w:hAnsi="Times New Roman" w:cs="Times New Roman"/>
          <w:i/>
          <w:sz w:val="24"/>
          <w:szCs w:val="24"/>
        </w:rPr>
        <w:t>To the Finland Station</w:t>
      </w:r>
      <w:r>
        <w:rPr>
          <w:rFonts w:ascii="Times New Roman" w:hAnsi="Times New Roman" w:cs="Times New Roman"/>
          <w:i/>
          <w:sz w:val="24"/>
          <w:szCs w:val="24"/>
        </w:rPr>
        <w:t>: A Study in the Writing and Acting of History</w:t>
      </w:r>
      <w:r>
        <w:rPr>
          <w:rFonts w:ascii="Times New Roman" w:hAnsi="Times New Roman" w:cs="Times New Roman"/>
          <w:sz w:val="24"/>
          <w:szCs w:val="24"/>
        </w:rPr>
        <w:t xml:space="preserve"> (1940) marked the second stage of his cultural </w:t>
      </w:r>
      <w:r w:rsidR="002C5DBF">
        <w:rPr>
          <w:rFonts w:ascii="Times New Roman" w:hAnsi="Times New Roman" w:cs="Times New Roman"/>
          <w:sz w:val="24"/>
          <w:szCs w:val="24"/>
        </w:rPr>
        <w:t>–</w:t>
      </w:r>
      <w:r>
        <w:rPr>
          <w:rFonts w:ascii="Times New Roman" w:hAnsi="Times New Roman" w:cs="Times New Roman"/>
          <w:sz w:val="24"/>
          <w:szCs w:val="24"/>
        </w:rPr>
        <w:t xml:space="preserve"> and political </w:t>
      </w:r>
      <w:r w:rsidR="002C5DBF">
        <w:rPr>
          <w:rFonts w:ascii="Times New Roman" w:hAnsi="Times New Roman" w:cs="Times New Roman"/>
          <w:sz w:val="24"/>
          <w:szCs w:val="24"/>
        </w:rPr>
        <w:t>–</w:t>
      </w:r>
      <w:r>
        <w:rPr>
          <w:rFonts w:ascii="Times New Roman" w:hAnsi="Times New Roman" w:cs="Times New Roman"/>
          <w:sz w:val="24"/>
          <w:szCs w:val="24"/>
        </w:rPr>
        <w:t xml:space="preserve"> influence.</w:t>
      </w:r>
      <w:proofErr w:type="gramEnd"/>
      <w:r>
        <w:rPr>
          <w:rFonts w:ascii="Times New Roman" w:hAnsi="Times New Roman" w:cs="Times New Roman"/>
          <w:sz w:val="24"/>
          <w:szCs w:val="24"/>
        </w:rPr>
        <w:t xml:space="preserve"> With its verbal portraits of Jules Michelet, Anatole France, Marx and Engels, it too is very much of its historical moment, passionately advocating a humane and lasting social revolution in September 1940, even as events in Europe argued against its imminent realization. </w:t>
      </w:r>
      <w:r w:rsidR="00590743">
        <w:rPr>
          <w:rFonts w:ascii="Times New Roman" w:hAnsi="Times New Roman" w:cs="Times New Roman"/>
          <w:sz w:val="24"/>
          <w:szCs w:val="24"/>
        </w:rPr>
        <w:t xml:space="preserve">His editing of F. Scott Fitzgerald’s posthumous manuscript for </w:t>
      </w:r>
      <w:r w:rsidR="00590743" w:rsidRPr="00362158">
        <w:rPr>
          <w:rFonts w:ascii="Times New Roman" w:hAnsi="Times New Roman" w:cs="Times New Roman"/>
          <w:i/>
          <w:sz w:val="24"/>
          <w:szCs w:val="24"/>
        </w:rPr>
        <w:t>The Last Tycoon</w:t>
      </w:r>
      <w:r w:rsidR="00590743">
        <w:rPr>
          <w:rFonts w:ascii="Times New Roman" w:hAnsi="Times New Roman" w:cs="Times New Roman"/>
          <w:sz w:val="24"/>
          <w:szCs w:val="24"/>
        </w:rPr>
        <w:t xml:space="preserve"> witnessed the increasing international academic recognition of Wilson’s role in shaping critical opinion of individual authors.</w:t>
      </w:r>
    </w:p>
    <w:p w:rsidR="00EA1DD5" w:rsidRDefault="00EA1DD5" w:rsidP="002C5DBF">
      <w:pPr>
        <w:spacing w:after="0" w:line="480" w:lineRule="auto"/>
        <w:contextualSpacing/>
        <w:rPr>
          <w:rFonts w:ascii="Times New Roman" w:hAnsi="Times New Roman" w:cs="Times New Roman"/>
          <w:i/>
          <w:sz w:val="24"/>
          <w:szCs w:val="24"/>
        </w:rPr>
      </w:pPr>
      <w:r>
        <w:rPr>
          <w:rFonts w:ascii="Times New Roman" w:hAnsi="Times New Roman" w:cs="Times New Roman"/>
          <w:i/>
          <w:sz w:val="24"/>
          <w:szCs w:val="24"/>
        </w:rPr>
        <w:t xml:space="preserve">David Copeland, </w:t>
      </w:r>
      <w:r w:rsidRPr="00EA1DD5">
        <w:rPr>
          <w:rFonts w:ascii="Times New Roman" w:hAnsi="Times New Roman" w:cs="Times New Roman"/>
          <w:i/>
          <w:sz w:val="24"/>
          <w:szCs w:val="24"/>
        </w:rPr>
        <w:t>Ryerson University</w:t>
      </w:r>
    </w:p>
    <w:p w:rsidR="001A0B1F" w:rsidRDefault="001A0B1F" w:rsidP="002C5DBF">
      <w:pPr>
        <w:spacing w:after="0" w:line="480" w:lineRule="auto"/>
        <w:contextualSpacing/>
        <w:rPr>
          <w:rFonts w:ascii="Times New Roman" w:hAnsi="Times New Roman" w:cs="Times New Roman"/>
          <w:i/>
          <w:sz w:val="24"/>
          <w:szCs w:val="24"/>
        </w:rPr>
      </w:pPr>
    </w:p>
    <w:p w:rsidR="001A0B1F" w:rsidRDefault="001A0B1F" w:rsidP="002C5DBF">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List of works</w:t>
      </w:r>
    </w:p>
    <w:p w:rsidR="00167421" w:rsidRDefault="00167421" w:rsidP="002C5DB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Wilson, E. (1931) </w:t>
      </w:r>
      <w:r w:rsidRPr="00EF2D2D">
        <w:rPr>
          <w:rFonts w:ascii="Times New Roman" w:hAnsi="Times New Roman" w:cs="Times New Roman"/>
          <w:i/>
          <w:sz w:val="24"/>
          <w:szCs w:val="24"/>
        </w:rPr>
        <w:t>Axel’s Castle: A Study in the Imaginative Literature of 1870-1930</w:t>
      </w:r>
      <w:r>
        <w:rPr>
          <w:rFonts w:ascii="Times New Roman" w:hAnsi="Times New Roman" w:cs="Times New Roman"/>
          <w:sz w:val="24"/>
          <w:szCs w:val="24"/>
        </w:rPr>
        <w:t xml:space="preserve">, London: The Fontana Library. </w:t>
      </w:r>
    </w:p>
    <w:p w:rsidR="001A0B1F" w:rsidRDefault="00167421" w:rsidP="002C5DB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(1940) </w:t>
      </w:r>
      <w:r w:rsidRPr="00874B43">
        <w:rPr>
          <w:rFonts w:ascii="Times New Roman" w:hAnsi="Times New Roman" w:cs="Times New Roman"/>
          <w:i/>
          <w:sz w:val="24"/>
          <w:szCs w:val="24"/>
        </w:rPr>
        <w:t>To the Finland Station</w:t>
      </w:r>
      <w:r>
        <w:rPr>
          <w:rFonts w:ascii="Times New Roman" w:hAnsi="Times New Roman" w:cs="Times New Roman"/>
          <w:i/>
          <w:sz w:val="24"/>
          <w:szCs w:val="24"/>
        </w:rPr>
        <w:t>: A Study in the Writing and Acting of History</w:t>
      </w:r>
      <w:r>
        <w:rPr>
          <w:rFonts w:ascii="Times New Roman" w:hAnsi="Times New Roman" w:cs="Times New Roman"/>
          <w:sz w:val="24"/>
          <w:szCs w:val="24"/>
        </w:rPr>
        <w:t>, Garden City: Doubleday.</w:t>
      </w:r>
    </w:p>
    <w:p w:rsidR="00167421" w:rsidRPr="00167421" w:rsidRDefault="00167421" w:rsidP="002C5DBF">
      <w:pPr>
        <w:spacing w:after="0" w:line="480" w:lineRule="auto"/>
        <w:contextualSpacing/>
        <w:rPr>
          <w:rFonts w:ascii="Times New Roman" w:hAnsi="Times New Roman" w:cs="Times New Roman"/>
          <w:sz w:val="24"/>
          <w:szCs w:val="24"/>
        </w:rPr>
      </w:pPr>
    </w:p>
    <w:p w:rsidR="009404C7" w:rsidRPr="009404C7" w:rsidRDefault="009404C7" w:rsidP="002C5DBF">
      <w:pPr>
        <w:spacing w:after="0" w:line="480" w:lineRule="auto"/>
        <w:contextualSpacing/>
        <w:rPr>
          <w:rFonts w:ascii="Times New Roman" w:hAnsi="Times New Roman" w:cs="Times New Roman"/>
          <w:b/>
          <w:sz w:val="24"/>
          <w:szCs w:val="24"/>
        </w:rPr>
      </w:pPr>
      <w:r w:rsidRPr="009404C7">
        <w:rPr>
          <w:rFonts w:ascii="Times New Roman" w:hAnsi="Times New Roman" w:cs="Times New Roman"/>
          <w:b/>
          <w:sz w:val="24"/>
          <w:szCs w:val="24"/>
        </w:rPr>
        <w:t>References</w:t>
      </w:r>
    </w:p>
    <w:p w:rsidR="009404C7" w:rsidRDefault="00BC2051" w:rsidP="002C5DBF">
      <w:pPr>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Collini</w:t>
      </w:r>
      <w:proofErr w:type="spellEnd"/>
      <w:r>
        <w:rPr>
          <w:rFonts w:ascii="Times New Roman" w:hAnsi="Times New Roman" w:cs="Times New Roman"/>
          <w:sz w:val="24"/>
          <w:szCs w:val="24"/>
        </w:rPr>
        <w:t>, S</w:t>
      </w:r>
      <w:r w:rsidR="009404C7">
        <w:rPr>
          <w:rFonts w:ascii="Times New Roman" w:hAnsi="Times New Roman" w:cs="Times New Roman"/>
          <w:sz w:val="24"/>
          <w:szCs w:val="24"/>
        </w:rPr>
        <w:t xml:space="preserve">. </w:t>
      </w:r>
      <w:r>
        <w:rPr>
          <w:rFonts w:ascii="Times New Roman" w:hAnsi="Times New Roman" w:cs="Times New Roman"/>
          <w:sz w:val="24"/>
          <w:szCs w:val="24"/>
        </w:rPr>
        <w:t xml:space="preserve">(2008) </w:t>
      </w:r>
      <w:r w:rsidR="009404C7" w:rsidRPr="00EF2D2D">
        <w:rPr>
          <w:rFonts w:ascii="Times New Roman" w:hAnsi="Times New Roman" w:cs="Times New Roman"/>
          <w:i/>
          <w:sz w:val="24"/>
          <w:szCs w:val="24"/>
        </w:rPr>
        <w:t>Common Reading: Critics, Historians, Publics</w:t>
      </w:r>
      <w:r w:rsidR="00EA1DD5">
        <w:rPr>
          <w:rFonts w:ascii="Times New Roman" w:hAnsi="Times New Roman" w:cs="Times New Roman"/>
          <w:sz w:val="24"/>
          <w:szCs w:val="24"/>
        </w:rPr>
        <w:t>,</w:t>
      </w:r>
      <w:r>
        <w:rPr>
          <w:rFonts w:ascii="Times New Roman" w:hAnsi="Times New Roman" w:cs="Times New Roman"/>
          <w:sz w:val="24"/>
          <w:szCs w:val="24"/>
        </w:rPr>
        <w:t xml:space="preserve"> New York: Oxford University Press.</w:t>
      </w:r>
      <w:proofErr w:type="gramEnd"/>
      <w:r>
        <w:rPr>
          <w:rFonts w:ascii="Times New Roman" w:hAnsi="Times New Roman" w:cs="Times New Roman"/>
          <w:sz w:val="24"/>
          <w:szCs w:val="24"/>
        </w:rPr>
        <w:t xml:space="preserve"> </w:t>
      </w:r>
    </w:p>
    <w:p w:rsidR="00DF2E9F" w:rsidRDefault="009404C7" w:rsidP="002C5DBF">
      <w:pPr>
        <w:spacing w:after="0"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Dabney</w:t>
      </w:r>
      <w:proofErr w:type="spellEnd"/>
      <w:r w:rsidR="00BC2051">
        <w:rPr>
          <w:rFonts w:ascii="Times New Roman" w:hAnsi="Times New Roman" w:cs="Times New Roman"/>
          <w:sz w:val="24"/>
          <w:szCs w:val="24"/>
        </w:rPr>
        <w:t xml:space="preserve">, L. (2005) </w:t>
      </w:r>
      <w:r w:rsidRPr="00EF2D2D">
        <w:rPr>
          <w:rFonts w:ascii="Times New Roman" w:hAnsi="Times New Roman" w:cs="Times New Roman"/>
          <w:i/>
          <w:sz w:val="24"/>
          <w:szCs w:val="24"/>
        </w:rPr>
        <w:t>Edmund Wilson: A Life in Literature</w:t>
      </w:r>
      <w:r w:rsidR="00EA1DD5">
        <w:rPr>
          <w:rFonts w:ascii="Times New Roman" w:hAnsi="Times New Roman" w:cs="Times New Roman"/>
          <w:sz w:val="24"/>
          <w:szCs w:val="24"/>
        </w:rPr>
        <w:t>,</w:t>
      </w:r>
      <w:r>
        <w:rPr>
          <w:rFonts w:ascii="Times New Roman" w:hAnsi="Times New Roman" w:cs="Times New Roman"/>
          <w:sz w:val="24"/>
          <w:szCs w:val="24"/>
        </w:rPr>
        <w:t xml:space="preserve"> New York: F</w:t>
      </w:r>
      <w:r w:rsidR="00BC2051">
        <w:rPr>
          <w:rFonts w:ascii="Times New Roman" w:hAnsi="Times New Roman" w:cs="Times New Roman"/>
          <w:sz w:val="24"/>
          <w:szCs w:val="24"/>
        </w:rPr>
        <w:t xml:space="preserve">arrar, Straus and Giroux. </w:t>
      </w:r>
    </w:p>
    <w:p w:rsidR="004B2ADF" w:rsidRDefault="004B2ADF" w:rsidP="002C5DB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404C7" w:rsidRDefault="009404C7" w:rsidP="002C5DBF">
      <w:pPr>
        <w:spacing w:after="0" w:line="480" w:lineRule="auto"/>
        <w:contextualSpacing/>
        <w:rPr>
          <w:rFonts w:ascii="Times New Roman" w:hAnsi="Times New Roman" w:cs="Times New Roman"/>
          <w:sz w:val="24"/>
          <w:szCs w:val="24"/>
        </w:rPr>
      </w:pPr>
    </w:p>
    <w:p w:rsidR="00AC3A88" w:rsidRDefault="00AC3A88" w:rsidP="002C5DBF">
      <w:pPr>
        <w:spacing w:after="0" w:line="480" w:lineRule="auto"/>
        <w:contextualSpacing/>
        <w:rPr>
          <w:rFonts w:ascii="Times New Roman" w:hAnsi="Times New Roman" w:cs="Times New Roman"/>
          <w:sz w:val="24"/>
          <w:szCs w:val="24"/>
        </w:rPr>
      </w:pPr>
    </w:p>
    <w:sectPr w:rsidR="00AC3A88" w:rsidSect="00CD5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8A"/>
    <w:rsid w:val="00006D1E"/>
    <w:rsid w:val="00010EC4"/>
    <w:rsid w:val="00016221"/>
    <w:rsid w:val="000172DB"/>
    <w:rsid w:val="00036127"/>
    <w:rsid w:val="000539CE"/>
    <w:rsid w:val="000569EC"/>
    <w:rsid w:val="000A1B98"/>
    <w:rsid w:val="000A612E"/>
    <w:rsid w:val="000C0834"/>
    <w:rsid w:val="000C683E"/>
    <w:rsid w:val="000D45CC"/>
    <w:rsid w:val="000F2277"/>
    <w:rsid w:val="00101444"/>
    <w:rsid w:val="0015255C"/>
    <w:rsid w:val="001665D5"/>
    <w:rsid w:val="00167421"/>
    <w:rsid w:val="00184010"/>
    <w:rsid w:val="00191CD8"/>
    <w:rsid w:val="001A0B1F"/>
    <w:rsid w:val="002002F5"/>
    <w:rsid w:val="0020441E"/>
    <w:rsid w:val="002064DC"/>
    <w:rsid w:val="0027134E"/>
    <w:rsid w:val="002805DE"/>
    <w:rsid w:val="00283412"/>
    <w:rsid w:val="002917F4"/>
    <w:rsid w:val="00292109"/>
    <w:rsid w:val="002A725D"/>
    <w:rsid w:val="002B326B"/>
    <w:rsid w:val="002C5DBF"/>
    <w:rsid w:val="002D2DBC"/>
    <w:rsid w:val="002D6988"/>
    <w:rsid w:val="002E3293"/>
    <w:rsid w:val="00341CC7"/>
    <w:rsid w:val="00362158"/>
    <w:rsid w:val="003D0E8F"/>
    <w:rsid w:val="003E0731"/>
    <w:rsid w:val="003E0FA6"/>
    <w:rsid w:val="003E4D61"/>
    <w:rsid w:val="003E6433"/>
    <w:rsid w:val="00431BA5"/>
    <w:rsid w:val="00443B2F"/>
    <w:rsid w:val="00461481"/>
    <w:rsid w:val="004B2ADF"/>
    <w:rsid w:val="004B500A"/>
    <w:rsid w:val="004F0BAA"/>
    <w:rsid w:val="00530F42"/>
    <w:rsid w:val="00540537"/>
    <w:rsid w:val="00570A81"/>
    <w:rsid w:val="00590743"/>
    <w:rsid w:val="005A66A1"/>
    <w:rsid w:val="005E2F67"/>
    <w:rsid w:val="00600A75"/>
    <w:rsid w:val="0061778C"/>
    <w:rsid w:val="00635052"/>
    <w:rsid w:val="00656879"/>
    <w:rsid w:val="00657651"/>
    <w:rsid w:val="00671834"/>
    <w:rsid w:val="0068583B"/>
    <w:rsid w:val="00694C20"/>
    <w:rsid w:val="006D2698"/>
    <w:rsid w:val="006D6E1E"/>
    <w:rsid w:val="0073278F"/>
    <w:rsid w:val="007455FB"/>
    <w:rsid w:val="007C06DC"/>
    <w:rsid w:val="007C7D14"/>
    <w:rsid w:val="007E60A5"/>
    <w:rsid w:val="007F070E"/>
    <w:rsid w:val="00845C30"/>
    <w:rsid w:val="00874B43"/>
    <w:rsid w:val="008B306D"/>
    <w:rsid w:val="008D0FE1"/>
    <w:rsid w:val="008E348A"/>
    <w:rsid w:val="009016FB"/>
    <w:rsid w:val="00905082"/>
    <w:rsid w:val="00907640"/>
    <w:rsid w:val="009404C7"/>
    <w:rsid w:val="00957C23"/>
    <w:rsid w:val="009C2E47"/>
    <w:rsid w:val="009C7F42"/>
    <w:rsid w:val="009F409B"/>
    <w:rsid w:val="00A06624"/>
    <w:rsid w:val="00A1659B"/>
    <w:rsid w:val="00A23252"/>
    <w:rsid w:val="00A4485B"/>
    <w:rsid w:val="00A44E77"/>
    <w:rsid w:val="00A7677B"/>
    <w:rsid w:val="00A920FC"/>
    <w:rsid w:val="00AB5BD9"/>
    <w:rsid w:val="00AC3A88"/>
    <w:rsid w:val="00B35116"/>
    <w:rsid w:val="00B6418F"/>
    <w:rsid w:val="00B84A2B"/>
    <w:rsid w:val="00BA3C9F"/>
    <w:rsid w:val="00BC2051"/>
    <w:rsid w:val="00BC5CA3"/>
    <w:rsid w:val="00BC5D17"/>
    <w:rsid w:val="00BF3AD9"/>
    <w:rsid w:val="00C11994"/>
    <w:rsid w:val="00C51288"/>
    <w:rsid w:val="00C64604"/>
    <w:rsid w:val="00C648E3"/>
    <w:rsid w:val="00C916D5"/>
    <w:rsid w:val="00C92D66"/>
    <w:rsid w:val="00CD58D2"/>
    <w:rsid w:val="00CD7E80"/>
    <w:rsid w:val="00CE2B2A"/>
    <w:rsid w:val="00D22DAC"/>
    <w:rsid w:val="00D31FD3"/>
    <w:rsid w:val="00D404CA"/>
    <w:rsid w:val="00D43A10"/>
    <w:rsid w:val="00D51F41"/>
    <w:rsid w:val="00D5454B"/>
    <w:rsid w:val="00D65CC3"/>
    <w:rsid w:val="00D7070B"/>
    <w:rsid w:val="00DB003E"/>
    <w:rsid w:val="00DB7DDE"/>
    <w:rsid w:val="00DD0FCD"/>
    <w:rsid w:val="00DD7D3B"/>
    <w:rsid w:val="00DF2E9F"/>
    <w:rsid w:val="00E071D3"/>
    <w:rsid w:val="00E26D2A"/>
    <w:rsid w:val="00E578FE"/>
    <w:rsid w:val="00E77C33"/>
    <w:rsid w:val="00EA1DD5"/>
    <w:rsid w:val="00EB5FBB"/>
    <w:rsid w:val="00EC73E5"/>
    <w:rsid w:val="00ED3BA0"/>
    <w:rsid w:val="00ED4055"/>
    <w:rsid w:val="00EE20FE"/>
    <w:rsid w:val="00EE4581"/>
    <w:rsid w:val="00EE77AE"/>
    <w:rsid w:val="00EF2D2D"/>
    <w:rsid w:val="00F05222"/>
    <w:rsid w:val="00F41F97"/>
    <w:rsid w:val="00F53A32"/>
    <w:rsid w:val="00F73F14"/>
    <w:rsid w:val="00F823BA"/>
    <w:rsid w:val="00F84021"/>
    <w:rsid w:val="00FB0EB1"/>
    <w:rsid w:val="00FD3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834"/>
    <w:rPr>
      <w:rFonts w:ascii="Tahoma" w:hAnsi="Tahoma" w:cs="Tahoma"/>
      <w:sz w:val="16"/>
      <w:szCs w:val="16"/>
    </w:rPr>
  </w:style>
  <w:style w:type="character" w:styleId="CommentReference">
    <w:name w:val="annotation reference"/>
    <w:basedOn w:val="DefaultParagraphFont"/>
    <w:uiPriority w:val="99"/>
    <w:semiHidden/>
    <w:unhideWhenUsed/>
    <w:rsid w:val="001A0B1F"/>
    <w:rPr>
      <w:sz w:val="16"/>
      <w:szCs w:val="16"/>
    </w:rPr>
  </w:style>
  <w:style w:type="paragraph" w:styleId="CommentText">
    <w:name w:val="annotation text"/>
    <w:basedOn w:val="Normal"/>
    <w:link w:val="CommentTextChar"/>
    <w:uiPriority w:val="99"/>
    <w:semiHidden/>
    <w:unhideWhenUsed/>
    <w:rsid w:val="001A0B1F"/>
    <w:pPr>
      <w:spacing w:line="240" w:lineRule="auto"/>
    </w:pPr>
    <w:rPr>
      <w:sz w:val="20"/>
      <w:szCs w:val="20"/>
    </w:rPr>
  </w:style>
  <w:style w:type="character" w:customStyle="1" w:styleId="CommentTextChar">
    <w:name w:val="Comment Text Char"/>
    <w:basedOn w:val="DefaultParagraphFont"/>
    <w:link w:val="CommentText"/>
    <w:uiPriority w:val="99"/>
    <w:semiHidden/>
    <w:rsid w:val="001A0B1F"/>
    <w:rPr>
      <w:sz w:val="20"/>
      <w:szCs w:val="20"/>
    </w:rPr>
  </w:style>
  <w:style w:type="paragraph" w:styleId="CommentSubject">
    <w:name w:val="annotation subject"/>
    <w:basedOn w:val="CommentText"/>
    <w:next w:val="CommentText"/>
    <w:link w:val="CommentSubjectChar"/>
    <w:uiPriority w:val="99"/>
    <w:semiHidden/>
    <w:unhideWhenUsed/>
    <w:rsid w:val="001A0B1F"/>
    <w:rPr>
      <w:b/>
      <w:bCs/>
    </w:rPr>
  </w:style>
  <w:style w:type="character" w:customStyle="1" w:styleId="CommentSubjectChar">
    <w:name w:val="Comment Subject Char"/>
    <w:basedOn w:val="CommentTextChar"/>
    <w:link w:val="CommentSubject"/>
    <w:uiPriority w:val="99"/>
    <w:semiHidden/>
    <w:rsid w:val="001A0B1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834"/>
    <w:rPr>
      <w:rFonts w:ascii="Tahoma" w:hAnsi="Tahoma" w:cs="Tahoma"/>
      <w:sz w:val="16"/>
      <w:szCs w:val="16"/>
    </w:rPr>
  </w:style>
  <w:style w:type="character" w:styleId="CommentReference">
    <w:name w:val="annotation reference"/>
    <w:basedOn w:val="DefaultParagraphFont"/>
    <w:uiPriority w:val="99"/>
    <w:semiHidden/>
    <w:unhideWhenUsed/>
    <w:rsid w:val="001A0B1F"/>
    <w:rPr>
      <w:sz w:val="16"/>
      <w:szCs w:val="16"/>
    </w:rPr>
  </w:style>
  <w:style w:type="paragraph" w:styleId="CommentText">
    <w:name w:val="annotation text"/>
    <w:basedOn w:val="Normal"/>
    <w:link w:val="CommentTextChar"/>
    <w:uiPriority w:val="99"/>
    <w:semiHidden/>
    <w:unhideWhenUsed/>
    <w:rsid w:val="001A0B1F"/>
    <w:pPr>
      <w:spacing w:line="240" w:lineRule="auto"/>
    </w:pPr>
    <w:rPr>
      <w:sz w:val="20"/>
      <w:szCs w:val="20"/>
    </w:rPr>
  </w:style>
  <w:style w:type="character" w:customStyle="1" w:styleId="CommentTextChar">
    <w:name w:val="Comment Text Char"/>
    <w:basedOn w:val="DefaultParagraphFont"/>
    <w:link w:val="CommentText"/>
    <w:uiPriority w:val="99"/>
    <w:semiHidden/>
    <w:rsid w:val="001A0B1F"/>
    <w:rPr>
      <w:sz w:val="20"/>
      <w:szCs w:val="20"/>
    </w:rPr>
  </w:style>
  <w:style w:type="paragraph" w:styleId="CommentSubject">
    <w:name w:val="annotation subject"/>
    <w:basedOn w:val="CommentText"/>
    <w:next w:val="CommentText"/>
    <w:link w:val="CommentSubjectChar"/>
    <w:uiPriority w:val="99"/>
    <w:semiHidden/>
    <w:unhideWhenUsed/>
    <w:rsid w:val="001A0B1F"/>
    <w:rPr>
      <w:b/>
      <w:bCs/>
    </w:rPr>
  </w:style>
  <w:style w:type="character" w:customStyle="1" w:styleId="CommentSubjectChar">
    <w:name w:val="Comment Subject Char"/>
    <w:basedOn w:val="CommentTextChar"/>
    <w:link w:val="CommentSubject"/>
    <w:uiPriority w:val="99"/>
    <w:semiHidden/>
    <w:rsid w:val="001A0B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EECE15F9-70F7-46B7-8F08-06271E0C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artsadmin</dc:creator>
  <cp:lastModifiedBy>cathy martha waszczuk</cp:lastModifiedBy>
  <cp:revision>2</cp:revision>
  <cp:lastPrinted>2012-07-24T18:40:00Z</cp:lastPrinted>
  <dcterms:created xsi:type="dcterms:W3CDTF">2012-08-30T21:16:00Z</dcterms:created>
  <dcterms:modified xsi:type="dcterms:W3CDTF">2012-08-30T21:16:00Z</dcterms:modified>
</cp:coreProperties>
</file>