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8F51B2" w:rsidP="008F51B2">
                <w:r>
                  <w:t>Bruce</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8F51B2" w:rsidP="008F51B2">
                <w:r>
                  <w:t>Elder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8F51B2" w:rsidP="008F51B2">
                <w:r>
                  <w:t>Ryerson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CA" w:eastAsia="zh-CN" w:bidi="hi-IN"/>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8F51B2" w:rsidP="008F51B2">
                <w:r w:rsidRPr="008F51B2">
                  <w:rPr>
                    <w:lang w:val="en-CA" w:eastAsia="zh-CN" w:bidi="hi-IN"/>
                  </w:rPr>
                  <w:t>Carnap, Rudolf (1891-1970)</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8F51B2" w:rsidP="008F51B2">
                <w:r w:rsidRPr="000E23A6">
                  <w:t>Rudolf Carnap</w:t>
                </w:r>
                <w:r>
                  <w:t xml:space="preserve"> was</w:t>
                </w:r>
                <w:r w:rsidRPr="000E23A6">
                  <w:t xml:space="preserve"> a German-American philosopher, widely regarded as one of most important of the twentieth century. Politically engaged and inclined towards utopianism, Carnap was a leading member of the Vienna Circle and a staunch advocate of</w:t>
                </w:r>
                <w:r>
                  <w:t xml:space="preserve"> the</w:t>
                </w:r>
                <w:r w:rsidRPr="000E23A6">
                  <w:t xml:space="preserve"> unity of science thesis</w:t>
                </w:r>
                <w:r>
                  <w:t>,</w:t>
                </w:r>
                <w:r w:rsidRPr="000E23A6">
                  <w:t xml:space="preserve"> </w:t>
                </w:r>
                <w:r>
                  <w:t xml:space="preserve">which held </w:t>
                </w:r>
                <w:r w:rsidRPr="000E23A6">
                  <w:t>that the various physical sciences—physics, astronomy, chemistry, biology—</w:t>
                </w:r>
                <w:r>
                  <w:t xml:space="preserve">could </w:t>
                </w:r>
                <w:r w:rsidRPr="000E23A6">
                  <w:t xml:space="preserve">be unified into a single overarching theory. He worked </w:t>
                </w:r>
                <w:r>
                  <w:t>across</w:t>
                </w:r>
                <w:r w:rsidRPr="000E23A6">
                  <w:t xml:space="preserve"> numerous fields, including the foundations of probability, modal theory, inductive logic and semantics. His principal philosophical method was logical analysis, the final goal of which, he explained, is to analyse all assertions of science and everyday life alike, to identify the method of verification for each proposition. This method</w:t>
                </w:r>
                <w:r>
                  <w:t xml:space="preserve"> </w:t>
                </w:r>
                <w:r w:rsidRPr="000E23A6">
                  <w:t xml:space="preserve">is grounded in the </w:t>
                </w:r>
                <w:r>
                  <w:t xml:space="preserve">anti-metaphysical </w:t>
                </w:r>
                <w:proofErr w:type="spellStart"/>
                <w:r w:rsidRPr="000E23A6">
                  <w:t>verificationist</w:t>
                </w:r>
                <w:proofErr w:type="spellEnd"/>
                <w:r w:rsidRPr="000E23A6">
                  <w:t xml:space="preserve"> principle, according to which a statement is meaningful only </w:t>
                </w:r>
                <w:r>
                  <w:t>if</w:t>
                </w:r>
                <w:r w:rsidRPr="000E23A6">
                  <w:t xml:space="preserve"> a method of verifying it</w:t>
                </w:r>
                <w:r>
                  <w:t xml:space="preserve"> is available</w:t>
                </w:r>
                <w:r w:rsidRPr="000E23A6">
                  <w:t xml:space="preserve">. Carnap himself was well aware that his philosophy shared in the same spirit as modernist art. In his preface to </w:t>
                </w:r>
                <w:r w:rsidRPr="00E15B4B">
                  <w:rPr>
                    <w:i/>
                  </w:rPr>
                  <w:t xml:space="preserve">Die </w:t>
                </w:r>
                <w:proofErr w:type="spellStart"/>
                <w:r w:rsidRPr="00E15B4B">
                  <w:rPr>
                    <w:i/>
                  </w:rPr>
                  <w:t>Logische</w:t>
                </w:r>
                <w:proofErr w:type="spellEnd"/>
                <w:r w:rsidRPr="00E15B4B">
                  <w:rPr>
                    <w:i/>
                  </w:rPr>
                  <w:t xml:space="preserve"> </w:t>
                </w:r>
                <w:proofErr w:type="spellStart"/>
                <w:r w:rsidRPr="00E15B4B">
                  <w:rPr>
                    <w:i/>
                  </w:rPr>
                  <w:t>Aufbau</w:t>
                </w:r>
                <w:proofErr w:type="spellEnd"/>
                <w:r w:rsidRPr="00E15B4B">
                  <w:rPr>
                    <w:i/>
                  </w:rPr>
                  <w:t xml:space="preserve"> der Welt</w:t>
                </w:r>
                <w:r>
                  <w:t xml:space="preserve"> </w:t>
                </w:r>
                <w:r w:rsidRPr="000E23A6">
                  <w:t xml:space="preserve">(1928) Carnap </w:t>
                </w:r>
                <w:r>
                  <w:t>claims</w:t>
                </w:r>
                <w:r w:rsidRPr="000E23A6">
                  <w:t xml:space="preserve"> </w:t>
                </w:r>
                <w:r>
                  <w:t xml:space="preserve">that </w:t>
                </w:r>
                <w:r w:rsidRPr="000E23A6">
                  <w:t xml:space="preserve">there is </w:t>
                </w:r>
                <w:r>
                  <w:t>‘</w:t>
                </w:r>
                <w:r w:rsidRPr="000E23A6">
                  <w:t>an inner kinship</w:t>
                </w:r>
                <w:r>
                  <w:t>’</w:t>
                </w:r>
                <w:r w:rsidRPr="000E23A6">
                  <w:t xml:space="preserve"> between the attitude on which his philosophical work is founded</w:t>
                </w:r>
                <w:r>
                  <w:t>,</w:t>
                </w:r>
                <w:r w:rsidRPr="000E23A6">
                  <w:t xml:space="preserve"> </w:t>
                </w:r>
                <w:r>
                  <w:t>‘</w:t>
                </w:r>
                <w:r w:rsidRPr="000E23A6">
                  <w:t>and the intellectual attitude which presently manifests itself in entirely different walks of life; we feel this orientation in artistic movements</w:t>
                </w:r>
                <w:r>
                  <w:t>’</w:t>
                </w:r>
                <w:r w:rsidRPr="000E23A6">
                  <w:t>.</w:t>
                </w:r>
              </w:p>
            </w:tc>
          </w:sdtContent>
        </w:sdt>
      </w:tr>
      <w:tr w:rsidR="003F0D73" w:rsidTr="003F0D73">
        <w:sdt>
          <w:sdtPr>
            <w:alias w:val="Article text"/>
            <w:tag w:val="articleText"/>
            <w:id w:val="634067588"/>
            <w:placeholder>
              <w:docPart w:val="DBB94F8041BE4F69974CEFC095EACF36"/>
            </w:placeholder>
          </w:sdtPr>
          <w:sdtEndPr>
            <w:rPr>
              <w:rFonts w:ascii="Times New Roman" w:eastAsia="Droid Sans Fallback" w:hAnsi="Times New Roman" w:cs="Lohit Hindi"/>
              <w:color w:val="00000A"/>
              <w:kern w:val="3"/>
              <w:sz w:val="24"/>
              <w:szCs w:val="24"/>
              <w:lang w:val="en-CA" w:eastAsia="zh-CN" w:bidi="hi-IN"/>
            </w:rPr>
          </w:sdtEndPr>
          <w:sdtContent>
            <w:tc>
              <w:tcPr>
                <w:tcW w:w="9016" w:type="dxa"/>
                <w:tcMar>
                  <w:top w:w="113" w:type="dxa"/>
                  <w:bottom w:w="113" w:type="dxa"/>
                </w:tcMar>
              </w:tcPr>
              <w:p w:rsidR="008F51B2" w:rsidRDefault="008F51B2" w:rsidP="008F51B2">
                <w:r w:rsidRPr="000E23A6">
                  <w:t>Rudolf Carnap</w:t>
                </w:r>
                <w:r>
                  <w:t xml:space="preserve"> was</w:t>
                </w:r>
                <w:r w:rsidRPr="000E23A6">
                  <w:t xml:space="preserve"> a German-American philosopher, widely regarded as one of most important of the twentieth century. Politically engaged and inclined towards utopianism, Carnap was a leading member of the Vienna Circle and a staunch advocate of</w:t>
                </w:r>
                <w:r>
                  <w:t xml:space="preserve"> the</w:t>
                </w:r>
                <w:r w:rsidRPr="000E23A6">
                  <w:t xml:space="preserve"> unity of science thesis</w:t>
                </w:r>
                <w:r>
                  <w:t>,</w:t>
                </w:r>
                <w:r w:rsidRPr="000E23A6">
                  <w:t xml:space="preserve"> </w:t>
                </w:r>
                <w:r>
                  <w:t xml:space="preserve">which held </w:t>
                </w:r>
                <w:r w:rsidRPr="000E23A6">
                  <w:t>that the various physical sciences—physics, astronomy, chemistry, biology—</w:t>
                </w:r>
                <w:r>
                  <w:t xml:space="preserve">could </w:t>
                </w:r>
                <w:r w:rsidRPr="000E23A6">
                  <w:t xml:space="preserve">be unified into a single overarching theory. He worked </w:t>
                </w:r>
                <w:r>
                  <w:t>across</w:t>
                </w:r>
                <w:r w:rsidRPr="000E23A6">
                  <w:t xml:space="preserve"> numerous fields, including the foundations of probability, modal theory, inductive logic and semantics. His principal philosophical method was logical analysis, the final goal of which, he explained, is to analyse all assertions of science and everyday life alike, to identify the method of verification for each proposition. This method</w:t>
                </w:r>
                <w:r>
                  <w:t xml:space="preserve"> </w:t>
                </w:r>
                <w:r w:rsidRPr="000E23A6">
                  <w:t xml:space="preserve">is grounded in the </w:t>
                </w:r>
                <w:r>
                  <w:t xml:space="preserve">anti-metaphysical </w:t>
                </w:r>
                <w:proofErr w:type="spellStart"/>
                <w:r w:rsidRPr="000E23A6">
                  <w:t>verificationist</w:t>
                </w:r>
                <w:proofErr w:type="spellEnd"/>
                <w:r w:rsidRPr="000E23A6">
                  <w:t xml:space="preserve"> principle, according to which a statement is meaningful only </w:t>
                </w:r>
                <w:r>
                  <w:t>if</w:t>
                </w:r>
                <w:r w:rsidRPr="000E23A6">
                  <w:t xml:space="preserve"> a method of verifying it</w:t>
                </w:r>
                <w:r>
                  <w:t xml:space="preserve"> is available</w:t>
                </w:r>
                <w:r w:rsidRPr="000E23A6">
                  <w:t xml:space="preserve">. Carnap himself was well aware that his philosophy shared in the same spirit as modernist art. In his preface to </w:t>
                </w:r>
                <w:r w:rsidRPr="00E15B4B">
                  <w:rPr>
                    <w:i/>
                  </w:rPr>
                  <w:t xml:space="preserve">Die </w:t>
                </w:r>
                <w:proofErr w:type="spellStart"/>
                <w:r w:rsidRPr="00E15B4B">
                  <w:rPr>
                    <w:i/>
                  </w:rPr>
                  <w:t>Logische</w:t>
                </w:r>
                <w:proofErr w:type="spellEnd"/>
                <w:r w:rsidRPr="00E15B4B">
                  <w:rPr>
                    <w:i/>
                  </w:rPr>
                  <w:t xml:space="preserve"> </w:t>
                </w:r>
                <w:proofErr w:type="spellStart"/>
                <w:r w:rsidRPr="00E15B4B">
                  <w:rPr>
                    <w:i/>
                  </w:rPr>
                  <w:t>Aufbau</w:t>
                </w:r>
                <w:proofErr w:type="spellEnd"/>
                <w:r w:rsidRPr="00E15B4B">
                  <w:rPr>
                    <w:i/>
                  </w:rPr>
                  <w:t xml:space="preserve"> der Welt</w:t>
                </w:r>
                <w:r>
                  <w:t xml:space="preserve"> </w:t>
                </w:r>
                <w:r w:rsidRPr="000E23A6">
                  <w:t xml:space="preserve">(1928) Carnap </w:t>
                </w:r>
                <w:r>
                  <w:t>claims</w:t>
                </w:r>
                <w:r w:rsidRPr="000E23A6">
                  <w:t xml:space="preserve"> </w:t>
                </w:r>
                <w:r>
                  <w:t xml:space="preserve">that </w:t>
                </w:r>
                <w:r w:rsidRPr="000E23A6">
                  <w:t xml:space="preserve">there is </w:t>
                </w:r>
                <w:r>
                  <w:t>‘</w:t>
                </w:r>
                <w:r w:rsidRPr="000E23A6">
                  <w:t>an inner kinship</w:t>
                </w:r>
                <w:r>
                  <w:t>’</w:t>
                </w:r>
                <w:r w:rsidRPr="000E23A6">
                  <w:t xml:space="preserve"> between the attitude on which his philosophical work is founded</w:t>
                </w:r>
                <w:r>
                  <w:t>,</w:t>
                </w:r>
                <w:r w:rsidRPr="000E23A6">
                  <w:t xml:space="preserve"> </w:t>
                </w:r>
                <w:r>
                  <w:t>‘</w:t>
                </w:r>
                <w:r w:rsidRPr="000E23A6">
                  <w:t>and the intellectual attitude which presently manifests itself in entirely different walks of life; we feel this orientation in artistic movements</w:t>
                </w:r>
                <w:r>
                  <w:t>’</w:t>
                </w:r>
                <w:r w:rsidRPr="000E23A6">
                  <w:t>.</w:t>
                </w:r>
              </w:p>
              <w:p w:rsidR="008F51B2" w:rsidRDefault="008F51B2" w:rsidP="008F51B2"/>
              <w:p w:rsidR="008F51B2" w:rsidRDefault="008F51B2" w:rsidP="008F51B2">
                <w:pPr>
                  <w:pStyle w:val="Heading1"/>
                </w:pPr>
                <w:r>
                  <w:t>List of Works</w:t>
                </w:r>
              </w:p>
              <w:p w:rsidR="003F0D73" w:rsidRDefault="008F51B2" w:rsidP="008F51B2">
                <w:pPr>
                  <w:pStyle w:val="Standard"/>
                  <w:tabs>
                    <w:tab w:val="clear" w:pos="709"/>
                    <w:tab w:val="left" w:pos="0"/>
                  </w:tabs>
                  <w:contextualSpacing/>
                </w:pPr>
                <w:r w:rsidRPr="008F51B2">
                  <w:rPr>
                    <w:rFonts w:asciiTheme="minorHAnsi" w:hAnsiTheme="minorHAnsi"/>
                    <w:sz w:val="22"/>
                    <w:szCs w:val="22"/>
                  </w:rPr>
                  <w:t>Carnap, R</w:t>
                </w:r>
                <w:r>
                  <w:rPr>
                    <w:rFonts w:asciiTheme="minorHAnsi" w:hAnsiTheme="minorHAnsi"/>
                    <w:sz w:val="22"/>
                    <w:szCs w:val="22"/>
                  </w:rPr>
                  <w:t>udolf.</w:t>
                </w:r>
                <w:r w:rsidRPr="008F51B2">
                  <w:rPr>
                    <w:rFonts w:asciiTheme="minorHAnsi" w:hAnsiTheme="minorHAnsi"/>
                    <w:sz w:val="22"/>
                    <w:szCs w:val="22"/>
                  </w:rPr>
                  <w:t xml:space="preserve"> (1934) </w:t>
                </w:r>
                <w:r w:rsidRPr="008F51B2">
                  <w:rPr>
                    <w:rFonts w:asciiTheme="minorHAnsi" w:hAnsiTheme="minorHAnsi"/>
                    <w:i/>
                    <w:sz w:val="22"/>
                    <w:szCs w:val="22"/>
                  </w:rPr>
                  <w:t xml:space="preserve">Die </w:t>
                </w:r>
                <w:proofErr w:type="spellStart"/>
                <w:r w:rsidRPr="008F51B2">
                  <w:rPr>
                    <w:rFonts w:asciiTheme="minorHAnsi" w:hAnsiTheme="minorHAnsi"/>
                    <w:i/>
                    <w:sz w:val="22"/>
                    <w:szCs w:val="22"/>
                  </w:rPr>
                  <w:t>Logische</w:t>
                </w:r>
                <w:proofErr w:type="spellEnd"/>
                <w:r w:rsidRPr="008F51B2">
                  <w:rPr>
                    <w:rFonts w:asciiTheme="minorHAnsi" w:hAnsiTheme="minorHAnsi"/>
                    <w:i/>
                    <w:sz w:val="22"/>
                    <w:szCs w:val="22"/>
                  </w:rPr>
                  <w:t xml:space="preserve"> Syntax der </w:t>
                </w:r>
                <w:proofErr w:type="spellStart"/>
                <w:r w:rsidRPr="008F51B2">
                  <w:rPr>
                    <w:rFonts w:asciiTheme="minorHAnsi" w:hAnsiTheme="minorHAnsi"/>
                    <w:i/>
                    <w:sz w:val="22"/>
                    <w:szCs w:val="22"/>
                  </w:rPr>
                  <w:t>Sprache</w:t>
                </w:r>
                <w:proofErr w:type="spellEnd"/>
                <w:r w:rsidRPr="008F51B2">
                  <w:rPr>
                    <w:rFonts w:asciiTheme="minorHAnsi" w:hAnsiTheme="minorHAnsi"/>
                    <w:sz w:val="22"/>
                    <w:szCs w:val="22"/>
                  </w:rPr>
                  <w:t xml:space="preserve">, Vienna: Springer. (1937) The Logical Syntax of Language, </w:t>
                </w:r>
                <w:r>
                  <w:rPr>
                    <w:rFonts w:asciiTheme="minorHAnsi" w:hAnsiTheme="minorHAnsi"/>
                    <w:sz w:val="22"/>
                    <w:szCs w:val="22"/>
                  </w:rPr>
                  <w:t>translated by</w:t>
                </w:r>
                <w:r w:rsidRPr="008F51B2">
                  <w:rPr>
                    <w:rFonts w:asciiTheme="minorHAnsi" w:hAnsiTheme="minorHAnsi"/>
                    <w:sz w:val="22"/>
                    <w:szCs w:val="22"/>
                  </w:rPr>
                  <w:t xml:space="preserve"> A. Smeaton, London: Kegan, Paul, Trench, </w:t>
                </w:r>
                <w:proofErr w:type="spellStart"/>
                <w:r w:rsidRPr="008F51B2">
                  <w:rPr>
                    <w:rFonts w:asciiTheme="minorHAnsi" w:hAnsiTheme="minorHAnsi"/>
                    <w:sz w:val="22"/>
                    <w:szCs w:val="22"/>
                  </w:rPr>
                  <w:t>Trubner</w:t>
                </w:r>
                <w:proofErr w:type="spellEnd"/>
                <w:r w:rsidRPr="008F51B2">
                  <w:rPr>
                    <w:rFonts w:asciiTheme="minorHAnsi" w:hAnsiTheme="minorHAnsi"/>
                    <w:sz w:val="22"/>
                    <w:szCs w:val="22"/>
                  </w:rPr>
                  <w:t xml:space="preserve"> &amp; Co. (Likely </w:t>
                </w:r>
                <w:proofErr w:type="spellStart"/>
                <w:r w:rsidRPr="008F51B2">
                  <w:rPr>
                    <w:rFonts w:asciiTheme="minorHAnsi" w:hAnsiTheme="minorHAnsi"/>
                    <w:sz w:val="22"/>
                    <w:szCs w:val="22"/>
                  </w:rPr>
                  <w:t>Carnap’s</w:t>
                </w:r>
                <w:proofErr w:type="spellEnd"/>
                <w:r w:rsidRPr="008F51B2">
                  <w:rPr>
                    <w:rFonts w:asciiTheme="minorHAnsi" w:hAnsiTheme="minorHAnsi"/>
                    <w:sz w:val="22"/>
                    <w:szCs w:val="22"/>
                  </w:rPr>
                  <w:t xml:space="preserve"> best demonstration of his method of logical analysis and its philosophical importance.)</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3235A7" w:rsidRDefault="008F51B2" w:rsidP="008F51B2">
                <w:pPr>
                  <w:pStyle w:val="Standard"/>
                  <w:tabs>
                    <w:tab w:val="clear" w:pos="709"/>
                    <w:tab w:val="left" w:pos="0"/>
                  </w:tabs>
                  <w:contextualSpacing/>
                </w:pPr>
                <w:sdt>
                  <w:sdtPr>
                    <w:id w:val="-427882358"/>
                    <w:citation/>
                  </w:sdtPr>
                  <w:sdtContent>
                    <w:r>
                      <w:fldChar w:fldCharType="begin"/>
                    </w:r>
                    <w:r>
                      <w:rPr>
                        <w:rFonts w:asciiTheme="minorHAnsi" w:hAnsiTheme="minorHAnsi"/>
                        <w:sz w:val="22"/>
                        <w:szCs w:val="22"/>
                      </w:rPr>
                      <w:instrText xml:space="preserve"> CITATION Schilpp63 \l 4105 </w:instrText>
                    </w:r>
                    <w:r>
                      <w:fldChar w:fldCharType="separate"/>
                    </w:r>
                    <w:r>
                      <w:rPr>
                        <w:rFonts w:asciiTheme="minorHAnsi" w:hAnsiTheme="minorHAnsi"/>
                        <w:noProof/>
                        <w:sz w:val="22"/>
                        <w:szCs w:val="22"/>
                      </w:rPr>
                      <w:t xml:space="preserve"> </w:t>
                    </w:r>
                    <w:r w:rsidRPr="008F51B2">
                      <w:rPr>
                        <w:rFonts w:asciiTheme="minorHAnsi" w:hAnsiTheme="minorHAnsi"/>
                        <w:noProof/>
                        <w:sz w:val="22"/>
                        <w:szCs w:val="22"/>
                      </w:rPr>
                      <w:t>(Schilpp)</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charset w:val="00"/>
    <w:family w:val="auto"/>
    <w:pitch w:val="variable"/>
  </w:font>
  <w:font w:name="Lohit Hindi">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F51B2"/>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customStyle="1" w:styleId="Standard">
    <w:name w:val="Standard"/>
    <w:rsid w:val="008F51B2"/>
    <w:pPr>
      <w:widowControl w:val="0"/>
      <w:tabs>
        <w:tab w:val="left" w:pos="709"/>
      </w:tabs>
      <w:suppressAutoHyphens/>
      <w:autoSpaceDN w:val="0"/>
      <w:spacing w:after="0" w:line="240" w:lineRule="auto"/>
      <w:textAlignment w:val="baseline"/>
    </w:pPr>
    <w:rPr>
      <w:rFonts w:ascii="Times New Roman" w:eastAsia="Droid Sans Fallback" w:hAnsi="Times New Roman" w:cs="Lohit Hindi"/>
      <w:color w:val="00000A"/>
      <w:kern w:val="3"/>
      <w:sz w:val="24"/>
      <w:szCs w:val="24"/>
      <w:lang w:val="en-CA"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customStyle="1" w:styleId="Standard">
    <w:name w:val="Standard"/>
    <w:rsid w:val="008F51B2"/>
    <w:pPr>
      <w:widowControl w:val="0"/>
      <w:tabs>
        <w:tab w:val="left" w:pos="709"/>
      </w:tabs>
      <w:suppressAutoHyphens/>
      <w:autoSpaceDN w:val="0"/>
      <w:spacing w:after="0" w:line="240" w:lineRule="auto"/>
      <w:textAlignment w:val="baseline"/>
    </w:pPr>
    <w:rPr>
      <w:rFonts w:ascii="Times New Roman" w:eastAsia="Droid Sans Fallback" w:hAnsi="Times New Roman" w:cs="Lohit Hindi"/>
      <w:color w:val="00000A"/>
      <w:kern w:val="3"/>
      <w:sz w:val="24"/>
      <w:szCs w:val="24"/>
      <w:lang w:val="en-C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771512"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771512"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771512"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771512"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771512"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771512"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771512"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771512"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771512"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771512"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771512"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charset w:val="00"/>
    <w:family w:val="auto"/>
    <w:pitch w:val="variable"/>
  </w:font>
  <w:font w:name="Lohit Hindi">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7715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Schilpp63</b:Tag>
    <b:SourceType>Book</b:SourceType>
    <b:Guid>{7D7549E8-A45A-4423-A82C-69E4F66CC66E}</b:Guid>
    <b:Title>The Philosophy of Rudolf Carnap</b:Title>
    <b:Year>1963</b:Year>
    <b:Medium>Print</b:Medium>
    <b:Author>
      <b:Author>
        <b:NameList>
          <b:Person>
            <b:Last>Schilpp</b:Last>
            <b:First>Pauk</b:First>
            <b:Middle>Arthur (ed.)</b:Middle>
          </b:Person>
        </b:NameList>
      </b:Author>
    </b:Author>
    <b:City>La Salle</b:City>
    <b:Publisher>Open Court</b:Publisher>
    <b:RefOrder>1</b:RefOrder>
  </b:Source>
</b:Sources>
</file>

<file path=customXml/itemProps1.xml><?xml version="1.0" encoding="utf-8"?>
<ds:datastoreItem xmlns:ds="http://schemas.openxmlformats.org/officeDocument/2006/customXml" ds:itemID="{FAE1E856-0482-4D0D-86C1-6EA106637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2</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2015-12-15T04:16:00Z</dcterms:created>
  <dcterms:modified xsi:type="dcterms:W3CDTF">2015-12-15T04:16:00Z</dcterms:modified>
</cp:coreProperties>
</file>