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ascii="Calibri" w:hAnsi="Calibri"/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84520A" w:rsidP="00922950">
                <w:proofErr w:type="spellStart"/>
                <w:r>
                  <w:rPr>
                    <w:rFonts w:ascii="Calibri" w:hAnsi="Calibri"/>
                    <w:lang w:val="en-US"/>
                  </w:rPr>
                  <w:t>Lovisa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rFonts w:ascii="Calibri" w:hAnsi="Calibri"/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84520A" w:rsidP="00922950">
                <w:r w:rsidRPr="0084520A">
                  <w:rPr>
                    <w:rFonts w:ascii="Calibri" w:hAnsi="Calibri"/>
                    <w:lang w:val="en-US"/>
                  </w:rPr>
                  <w:t>Berg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  <w:lang w:val="en-U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84520A" w:rsidP="00B574C9">
                <w:r w:rsidRPr="0084520A">
                  <w:rPr>
                    <w:rFonts w:ascii="Calibri" w:hAnsi="Calibri"/>
                    <w:lang w:val="en-US"/>
                  </w:rPr>
                  <w:t>Dalarna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sv-SE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21612" w:rsidP="00C21612">
                <w:pPr>
                  <w:rPr>
                    <w:b/>
                  </w:rPr>
                </w:pPr>
                <w:r w:rsidRPr="00C21612">
                  <w:rPr>
                    <w:lang w:val="sv-SE"/>
                  </w:rPr>
                  <w:t xml:space="preserve">Al-Naqqāsh, Mārūn </w:t>
                </w:r>
                <w:r w:rsidRPr="00C21612">
                  <w:rPr>
                    <w:rFonts w:ascii="Arial" w:hAnsi="Arial" w:cs="Arial"/>
                    <w:lang w:val="sv-SE"/>
                  </w:rPr>
                  <w:t>مارون</w:t>
                </w:r>
                <w:r w:rsidRPr="00C21612">
                  <w:rPr>
                    <w:lang w:val="sv-SE"/>
                  </w:rPr>
                  <w:t xml:space="preserve"> </w:t>
                </w:r>
                <w:r w:rsidRPr="00C21612">
                  <w:rPr>
                    <w:rFonts w:ascii="Arial" w:hAnsi="Arial" w:cs="Arial"/>
                    <w:lang w:val="sv-SE"/>
                  </w:rPr>
                  <w:t>النقاش</w:t>
                </w:r>
                <w:r w:rsidRPr="00C21612">
                  <w:rPr>
                    <w:lang w:val="sv-SE"/>
                  </w:rPr>
                  <w:t>(1817-1855)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bookmarkStart w:id="0" w:name="_GoBack" w:displacedByCustomXml="next"/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C21612" w:rsidRDefault="00C21612" w:rsidP="00C21612">
                <w:pPr>
                  <w:jc w:val="both"/>
                  <w:rPr>
                    <w:rFonts w:ascii="Calibri" w:hAnsi="Calibri"/>
                    <w:lang w:val="en-US"/>
                  </w:rPr>
                </w:pP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Mārūn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bookmarkEnd w:id="0"/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is often seen as the father of modern Arabic drama. He was born in Sidon, but grew up in Beirut. After a traditional education comprising detailed studies of Arabic language and literature as well as law and foreign languages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decided to travel. His first journeys </w:t>
                </w:r>
                <w:r>
                  <w:rPr>
                    <w:rFonts w:ascii="Calibri" w:hAnsi="Calibri"/>
                    <w:lang w:val="en-US"/>
                  </w:rPr>
                  <w:t>took him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to Damascus and Aleppo</w:t>
                </w:r>
                <w:r>
                  <w:rPr>
                    <w:rFonts w:ascii="Calibri" w:hAnsi="Calibri"/>
                    <w:lang w:val="en-US"/>
                  </w:rPr>
                  <w:t>,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and then in 1846 he travelled to Egypt and Italy. In Italy he became fascinated with European theatre and on his return to Beirut he decided to write and </w:t>
                </w:r>
                <w:r>
                  <w:rPr>
                    <w:rFonts w:ascii="Calibri" w:hAnsi="Calibri"/>
                    <w:lang w:val="en-US"/>
                  </w:rPr>
                  <w:t>produce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a play. Drawing on his deep knowledge of Arabic culture in addition to influences from his journeys</w:t>
                </w:r>
                <w:r>
                  <w:rPr>
                    <w:rFonts w:ascii="Calibri" w:hAnsi="Calibri"/>
                    <w:lang w:val="en-US"/>
                  </w:rPr>
                  <w:t>,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produced 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al-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bakhīl</w:t>
                </w:r>
                <w:proofErr w:type="spellEnd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r w:rsidRPr="00563858">
                  <w:rPr>
                    <w:rFonts w:ascii="Calibri" w:hAnsi="Calibri"/>
                    <w:lang w:val="en-US"/>
                  </w:rPr>
                  <w:t>(The Miser)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r w:rsidRPr="00563858">
                  <w:rPr>
                    <w:rFonts w:ascii="Calibri" w:hAnsi="Calibri"/>
                    <w:lang w:val="en-US"/>
                  </w:rPr>
                  <w:t>(1847). The five</w:t>
                </w:r>
                <w:r>
                  <w:rPr>
                    <w:rFonts w:ascii="Calibri" w:hAnsi="Calibri"/>
                    <w:lang w:val="en-US"/>
                  </w:rPr>
                  <w:t>-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act play was inspired by Molière’s 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L’Avare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but included features from puppet and shadow theater, two popular genres in Beirut at the time. Before obtaining permission to build a theatre</w:t>
                </w:r>
                <w:r>
                  <w:rPr>
                    <w:rFonts w:ascii="Calibri" w:hAnsi="Calibri"/>
                    <w:lang w:val="en-US"/>
                  </w:rPr>
                  <w:t>,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used the courtyard of his own home as a stage and engaged friends and family to take part in his plays</w:t>
                </w:r>
                <w:r>
                  <w:rPr>
                    <w:rFonts w:ascii="Calibri" w:hAnsi="Calibri"/>
                    <w:lang w:val="en-US"/>
                  </w:rPr>
                  <w:t>. H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is brother 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Niqūla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Al- 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also contributed plays for the theatre.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21612" w:rsidRDefault="00C21612" w:rsidP="00C21612">
                <w:pPr>
                  <w:jc w:val="both"/>
                  <w:rPr>
                    <w:rFonts w:ascii="Calibri" w:hAnsi="Calibri"/>
                    <w:lang w:val="en-US"/>
                  </w:rPr>
                </w:pP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Mārūn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is often seen as the father of modern Arabic drama. He was born in Sidon, but grew up in Beirut. After a traditional education comprising detailed studies of Arabic language and literature as well as law and foreign languages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decided to travel. His first journeys </w:t>
                </w:r>
                <w:r>
                  <w:rPr>
                    <w:rFonts w:ascii="Calibri" w:hAnsi="Calibri"/>
                    <w:lang w:val="en-US"/>
                  </w:rPr>
                  <w:t>took him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to Damascus and Aleppo</w:t>
                </w:r>
                <w:r>
                  <w:rPr>
                    <w:rFonts w:ascii="Calibri" w:hAnsi="Calibri"/>
                    <w:lang w:val="en-US"/>
                  </w:rPr>
                  <w:t>,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and then in 1846 he travelled to Egypt and Italy. In Italy he became fascinated with European theatre and on his return to Beirut he decided to write and </w:t>
                </w:r>
                <w:r>
                  <w:rPr>
                    <w:rFonts w:ascii="Calibri" w:hAnsi="Calibri"/>
                    <w:lang w:val="en-US"/>
                  </w:rPr>
                  <w:t>produce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a play. Drawing on his deep knowledge of Arabic culture in addition to influences from his journeys</w:t>
                </w:r>
                <w:r>
                  <w:rPr>
                    <w:rFonts w:ascii="Calibri" w:hAnsi="Calibri"/>
                    <w:lang w:val="en-US"/>
                  </w:rPr>
                  <w:t>,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produced 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al-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bakhīl</w:t>
                </w:r>
                <w:proofErr w:type="spellEnd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r w:rsidRPr="00563858">
                  <w:rPr>
                    <w:rFonts w:ascii="Calibri" w:hAnsi="Calibri"/>
                    <w:lang w:val="en-US"/>
                  </w:rPr>
                  <w:t>(The Miser)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r w:rsidRPr="00563858">
                  <w:rPr>
                    <w:rFonts w:ascii="Calibri" w:hAnsi="Calibri"/>
                    <w:lang w:val="en-US"/>
                  </w:rPr>
                  <w:t>(1847). The five</w:t>
                </w:r>
                <w:r>
                  <w:rPr>
                    <w:rFonts w:ascii="Calibri" w:hAnsi="Calibri"/>
                    <w:lang w:val="en-US"/>
                  </w:rPr>
                  <w:t>-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act play was inspired by Molière’s 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L’Avare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but included features from puppet and shadow theater, two popular genres in Beirut at the time. Before obtaining permission to build a theatre</w:t>
                </w:r>
                <w:r>
                  <w:rPr>
                    <w:rFonts w:ascii="Calibri" w:hAnsi="Calibri"/>
                    <w:lang w:val="en-US"/>
                  </w:rPr>
                  <w:t>,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used the courtyard of his own home as a stage and engaged friends and family to take part in his plays</w:t>
                </w:r>
                <w:r>
                  <w:rPr>
                    <w:rFonts w:ascii="Calibri" w:hAnsi="Calibri"/>
                    <w:lang w:val="en-US"/>
                  </w:rPr>
                  <w:t>. H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is brother 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Niqūla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Al- 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also contributed plays for the theatre. </w:t>
                </w:r>
              </w:p>
              <w:p w:rsidR="00C21612" w:rsidRDefault="00C21612" w:rsidP="00C21612">
                <w:pPr>
                  <w:jc w:val="both"/>
                  <w:rPr>
                    <w:rFonts w:ascii="Calibri" w:hAnsi="Calibri"/>
                    <w:lang w:val="en-US"/>
                  </w:rPr>
                </w:pPr>
              </w:p>
              <w:p w:rsidR="00C21612" w:rsidRDefault="00C21612" w:rsidP="00C21612">
                <w:pPr>
                  <w:jc w:val="both"/>
                  <w:rPr>
                    <w:rFonts w:ascii="Calibri" w:hAnsi="Calibri"/>
                    <w:lang w:val="en-US"/>
                  </w:rPr>
                </w:pPr>
                <w:r w:rsidRPr="00563858">
                  <w:rPr>
                    <w:rFonts w:ascii="Calibri" w:hAnsi="Calibri"/>
                    <w:lang w:val="en-US"/>
                  </w:rPr>
                  <w:t xml:space="preserve">The success of 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The Miser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encouraged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to compose a second play, 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Abū</w:t>
                </w:r>
                <w:proofErr w:type="spellEnd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´l-</w:t>
                </w:r>
                <w:proofErr w:type="spellStart"/>
                <w:r w:rsidRPr="00563858">
                  <w:rPr>
                    <w:rFonts w:ascii="Calibri" w:hAnsi="Calibri" w:cs="Times New Roman"/>
                    <w:i/>
                    <w:iCs/>
                    <w:lang w:val="en-US"/>
                  </w:rPr>
                  <w:t>Ḥ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asan</w:t>
                </w:r>
                <w:proofErr w:type="spellEnd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al-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mughaffal</w:t>
                </w:r>
                <w:proofErr w:type="spellEnd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aw </w:t>
                </w:r>
                <w:proofErr w:type="spellStart"/>
                <w:r>
                  <w:rPr>
                    <w:rFonts w:ascii="Calibri" w:hAnsi="Calibri" w:cs="Times New Roman"/>
                    <w:i/>
                    <w:iCs/>
                    <w:lang w:val="en-US"/>
                  </w:rPr>
                  <w:t>H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ārūn</w:t>
                </w:r>
                <w:proofErr w:type="spellEnd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al-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Rashīd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(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Abū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´l-</w:t>
                </w:r>
                <w:proofErr w:type="spellStart"/>
                <w:r w:rsidRPr="00563858">
                  <w:rPr>
                    <w:rFonts w:ascii="Calibri" w:hAnsi="Calibri" w:cs="Times New Roman"/>
                    <w:lang w:val="en-US"/>
                  </w:rPr>
                  <w:t>Ḥ</w:t>
                </w:r>
                <w:r w:rsidRPr="00563858">
                  <w:rPr>
                    <w:rFonts w:ascii="Calibri" w:hAnsi="Calibri"/>
                    <w:lang w:val="en-US"/>
                  </w:rPr>
                  <w:t>asan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the Simpleton or</w:t>
                </w:r>
                <w:r w:rsidRPr="00563858">
                  <w:rPr>
                    <w:rFonts w:ascii="Calibri" w:hAnsi="Calibri" w:cs="Arial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Calibri" w:hAnsi="Calibri" w:cs="Times New Roman"/>
                    <w:lang w:val="en-US"/>
                  </w:rPr>
                  <w:t>H</w:t>
                </w:r>
                <w:r w:rsidRPr="00563858">
                  <w:rPr>
                    <w:rFonts w:ascii="Calibri" w:hAnsi="Calibri"/>
                    <w:lang w:val="en-US"/>
                  </w:rPr>
                  <w:t>ārūn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Rashīd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) (1850). This time he based the main plot on a tale from 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The Arabian Nights 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but continued to </w:t>
                </w:r>
                <w:r>
                  <w:rPr>
                    <w:rFonts w:ascii="Calibri" w:hAnsi="Calibri"/>
                    <w:lang w:val="en-US"/>
                  </w:rPr>
                  <w:t>refer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to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L’Avare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>.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Naqqāsh’s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two plays were well received and he was recognized by his contemporaries as the person who had brought theatre to the country. In 1851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produced what </w:t>
                </w:r>
                <w:r>
                  <w:rPr>
                    <w:rFonts w:ascii="Calibri" w:hAnsi="Calibri"/>
                    <w:lang w:val="en-US"/>
                  </w:rPr>
                  <w:t>would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be his last play</w:t>
                </w:r>
                <w:r>
                  <w:rPr>
                    <w:rFonts w:ascii="Calibri" w:hAnsi="Calibri"/>
                    <w:lang w:val="en-US"/>
                  </w:rPr>
                  <w:t>,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al-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salīt</w:t>
                </w:r>
                <w:proofErr w:type="spellEnd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al-</w:t>
                </w:r>
                <w:proofErr w:type="spellStart"/>
                <w:r>
                  <w:rPr>
                    <w:rFonts w:ascii="Arial" w:hAnsi="Arial" w:cs="Arial"/>
                    <w:i/>
                    <w:iCs/>
                    <w:lang w:val="en-US"/>
                  </w:rPr>
                  <w:t>ḥ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asūd</w:t>
                </w:r>
                <w:proofErr w:type="spellEnd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r w:rsidRPr="00563858">
                  <w:rPr>
                    <w:rFonts w:ascii="Calibri" w:hAnsi="Calibri"/>
                    <w:lang w:val="en-US"/>
                  </w:rPr>
                  <w:t>(The Envious, Impertinent One). Like his earlier two plays</w:t>
                </w:r>
                <w:r>
                  <w:rPr>
                    <w:rFonts w:ascii="Calibri" w:hAnsi="Calibri"/>
                    <w:lang w:val="en-US"/>
                  </w:rPr>
                  <w:t>,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i/>
                    <w:iCs/>
                    <w:lang w:val="en-US"/>
                  </w:rPr>
                  <w:t>The Envious, Impertinent One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was a </w:t>
                </w:r>
                <w:r>
                  <w:rPr>
                    <w:rFonts w:ascii="Calibri" w:hAnsi="Calibri"/>
                    <w:lang w:val="en-US"/>
                  </w:rPr>
                  <w:t>fusion of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western and eastern culture</w:t>
                </w:r>
                <w:r>
                  <w:rPr>
                    <w:rFonts w:ascii="Calibri" w:hAnsi="Calibri"/>
                    <w:lang w:val="en-US"/>
                  </w:rPr>
                  <w:t>s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. The plot borrowed from 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Tartuffe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, 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Le Misanthrope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and 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Le Bourgeois 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Gentilhomme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by Molière</w:t>
                </w:r>
                <w:r>
                  <w:rPr>
                    <w:rFonts w:ascii="Calibri" w:hAnsi="Calibri"/>
                    <w:lang w:val="en-US"/>
                  </w:rPr>
                  <w:t>,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but was filled with references to Arabic culture and tradition.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also made use of Arabic musical heritage</w:t>
                </w:r>
                <w:r>
                  <w:rPr>
                    <w:rFonts w:ascii="Calibri" w:hAnsi="Calibri"/>
                    <w:lang w:val="en-US"/>
                  </w:rPr>
                  <w:t xml:space="preserve">; 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in 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The Miser 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no </w:t>
                </w:r>
                <w:r>
                  <w:rPr>
                    <w:rFonts w:ascii="Calibri" w:hAnsi="Calibri"/>
                    <w:lang w:val="en-US"/>
                  </w:rPr>
                  <w:t>fewer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than 105 well-known tunes were incorporated creating an operetta</w:t>
                </w:r>
                <w:r>
                  <w:rPr>
                    <w:rFonts w:ascii="Calibri" w:hAnsi="Calibri"/>
                    <w:lang w:val="en-US"/>
                  </w:rPr>
                  <w:t xml:space="preserve"> like play, a form of theatre </w:t>
                </w:r>
                <w:r w:rsidRPr="00563858">
                  <w:rPr>
                    <w:rFonts w:ascii="Calibri" w:hAnsi="Calibri"/>
                    <w:lang w:val="en-US"/>
                  </w:rPr>
                  <w:t>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thought would be more attractive to the Arab audience than a play based on </w:t>
                </w:r>
                <w:r>
                  <w:rPr>
                    <w:rFonts w:ascii="Calibri" w:hAnsi="Calibri"/>
                    <w:lang w:val="en-US"/>
                  </w:rPr>
                  <w:lastRenderedPageBreak/>
                  <w:t>spoken dialogue only</w:t>
                </w:r>
                <w:r w:rsidRPr="00563858">
                  <w:rPr>
                    <w:rFonts w:ascii="Calibri" w:hAnsi="Calibri"/>
                    <w:lang w:val="en-US"/>
                  </w:rPr>
                  <w:t>.</w:t>
                </w:r>
                <w:r>
                  <w:rPr>
                    <w:rFonts w:ascii="Calibri" w:hAnsi="Calibri"/>
                    <w:lang w:val="en-US"/>
                  </w:rPr>
                  <w:t xml:space="preserve"> </w:t>
                </w:r>
              </w:p>
              <w:p w:rsidR="00C21612" w:rsidRDefault="00C21612" w:rsidP="00C21612">
                <w:pPr>
                  <w:jc w:val="both"/>
                  <w:rPr>
                    <w:rFonts w:ascii="Calibri" w:hAnsi="Calibri"/>
                    <w:lang w:val="en-US"/>
                  </w:rPr>
                </w:pPr>
              </w:p>
              <w:p w:rsidR="00C21612" w:rsidRDefault="00C21612" w:rsidP="00C21612">
                <w:pPr>
                  <w:jc w:val="both"/>
                  <w:rPr>
                    <w:rFonts w:ascii="Calibri" w:hAnsi="Calibri"/>
                    <w:lang w:val="en-US"/>
                  </w:rPr>
                </w:pPr>
                <w:r w:rsidRPr="00563858">
                  <w:rPr>
                    <w:rFonts w:ascii="Calibri" w:hAnsi="Calibri"/>
                    <w:lang w:val="en-US"/>
                  </w:rPr>
                  <w:t>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also used his knowledge of language and poetry to write rhyming dialogue of different types</w:t>
                </w:r>
                <w:r>
                  <w:rPr>
                    <w:rFonts w:ascii="Calibri" w:hAnsi="Calibri"/>
                    <w:lang w:val="en-US"/>
                  </w:rPr>
                  <w:t>,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and made use of the levels of the Arabic language</w:t>
                </w:r>
                <w:r>
                  <w:rPr>
                    <w:rFonts w:ascii="Calibri" w:hAnsi="Calibri"/>
                    <w:lang w:val="en-US"/>
                  </w:rPr>
                  <w:t>,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from the various vernaculars to the formal standard Arabic</w:t>
                </w:r>
                <w:r>
                  <w:rPr>
                    <w:rFonts w:ascii="Calibri" w:hAnsi="Calibri"/>
                    <w:lang w:val="en-US"/>
                  </w:rPr>
                  <w:t>, to distinguish between characters</w:t>
                </w:r>
                <w:r w:rsidRPr="00563858">
                  <w:rPr>
                    <w:rFonts w:ascii="Calibri" w:hAnsi="Calibri"/>
                    <w:lang w:val="en-US"/>
                  </w:rPr>
                  <w:t>. A pioneer in Arabic drama</w:t>
                </w:r>
                <w:r>
                  <w:rPr>
                    <w:rFonts w:ascii="Calibri" w:hAnsi="Calibri"/>
                    <w:lang w:val="en-US"/>
                  </w:rPr>
                  <w:t>,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encouraged others to write and produce pieces for the theatre</w:t>
                </w:r>
                <w:r>
                  <w:rPr>
                    <w:rFonts w:ascii="Calibri" w:hAnsi="Calibri"/>
                    <w:lang w:val="en-US"/>
                  </w:rPr>
                  <w:t>. H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e was also careful to write detailed directions for his plays. In addition to his plays, which were </w:t>
                </w:r>
                <w:r>
                  <w:rPr>
                    <w:rFonts w:ascii="Calibri" w:hAnsi="Calibri"/>
                    <w:lang w:val="en-US"/>
                  </w:rPr>
                  <w:t>put on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both in Beirut and in other major Arab cities, the terminology</w:t>
                </w:r>
                <w:r>
                  <w:rPr>
                    <w:rFonts w:ascii="Calibri" w:hAnsi="Calibri"/>
                    <w:lang w:val="en-US"/>
                  </w:rPr>
                  <w:t xml:space="preserve"> Al-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Naqqāsh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coined and his thoughts on how to introduce drama to the Arab public 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remained in use far into the </w:t>
                </w:r>
                <w:r>
                  <w:rPr>
                    <w:rFonts w:ascii="Calibri" w:hAnsi="Calibri"/>
                    <w:lang w:val="en-US"/>
                  </w:rPr>
                  <w:t>twentieth</w:t>
                </w:r>
                <w:r w:rsidRPr="00563858">
                  <w:rPr>
                    <w:rFonts w:ascii="Calibri" w:hAnsi="Calibri"/>
                    <w:lang w:val="en-US"/>
                  </w:rPr>
                  <w:t xml:space="preserve"> century. </w:t>
                </w:r>
              </w:p>
              <w:p w:rsidR="00C21612" w:rsidRDefault="00C21612" w:rsidP="00C21612">
                <w:pPr>
                  <w:jc w:val="both"/>
                  <w:rPr>
                    <w:rFonts w:ascii="Calibri" w:hAnsi="Calibri"/>
                    <w:lang w:val="en-US"/>
                  </w:rPr>
                </w:pPr>
              </w:p>
              <w:p w:rsidR="00C21612" w:rsidRDefault="00C21612" w:rsidP="00C21612">
                <w:pPr>
                  <w:jc w:val="both"/>
                  <w:rPr>
                    <w:rStyle w:val="Heading1Char"/>
                  </w:rPr>
                </w:pPr>
                <w:r w:rsidRPr="00C21612">
                  <w:rPr>
                    <w:rStyle w:val="Heading1Char"/>
                  </w:rPr>
                  <w:t>List of Works</w:t>
                </w:r>
              </w:p>
              <w:p w:rsidR="00C21612" w:rsidRDefault="00C21612" w:rsidP="00C21612">
                <w:pPr>
                  <w:jc w:val="both"/>
                  <w:rPr>
                    <w:rStyle w:val="Heading1Char"/>
                  </w:rPr>
                </w:pPr>
              </w:p>
              <w:p w:rsidR="00C21612" w:rsidRPr="00563858" w:rsidRDefault="00C21612" w:rsidP="00C2161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Al-</w:t>
                </w:r>
                <w:proofErr w:type="spellStart"/>
                <w:r>
                  <w:rPr>
                    <w:lang w:val="en-US"/>
                  </w:rPr>
                  <w:t>Naqqāsh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proofErr w:type="spellStart"/>
                <w:r w:rsidRPr="00563858">
                  <w:rPr>
                    <w:lang w:val="en-US"/>
                  </w:rPr>
                  <w:t>Niqūla</w:t>
                </w:r>
                <w:proofErr w:type="spellEnd"/>
                <w:r w:rsidRPr="00563858">
                  <w:rPr>
                    <w:lang w:val="en-US"/>
                  </w:rPr>
                  <w:t xml:space="preserve">. (ed.) (1869) </w:t>
                </w:r>
                <w:proofErr w:type="spellStart"/>
                <w:r w:rsidRPr="00563858">
                  <w:rPr>
                    <w:i/>
                    <w:iCs/>
                    <w:lang w:val="en-US"/>
                  </w:rPr>
                  <w:t>Arzat</w:t>
                </w:r>
                <w:proofErr w:type="spellEnd"/>
                <w:r w:rsidRPr="00563858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563858">
                  <w:rPr>
                    <w:i/>
                    <w:iCs/>
                    <w:lang w:val="en-US"/>
                  </w:rPr>
                  <w:t>Lubnan</w:t>
                </w:r>
                <w:proofErr w:type="spellEnd"/>
                <w:r w:rsidR="0084520A">
                  <w:rPr>
                    <w:lang w:val="en-US"/>
                  </w:rPr>
                  <w:t xml:space="preserve"> </w:t>
                </w:r>
                <w:r>
                  <w:rPr>
                    <w:rFonts w:hint="cs"/>
                    <w:rtl/>
                    <w:lang w:val="en-US"/>
                  </w:rPr>
                  <w:t xml:space="preserve">أرزة لبنان </w:t>
                </w:r>
                <w:r w:rsidRPr="00563858">
                  <w:rPr>
                    <w:lang w:val="en-US"/>
                  </w:rPr>
                  <w:t>(The Cedars of Lebanon), Beirut: al-</w:t>
                </w:r>
                <w:proofErr w:type="spellStart"/>
                <w:proofErr w:type="gramStart"/>
                <w:r w:rsidRPr="00563858">
                  <w:rPr>
                    <w:lang w:val="en-US"/>
                  </w:rPr>
                  <w:t>matba‘a</w:t>
                </w:r>
                <w:proofErr w:type="spellEnd"/>
                <w:proofErr w:type="gramEnd"/>
                <w:r w:rsidRPr="00563858">
                  <w:rPr>
                    <w:lang w:val="en-US"/>
                  </w:rPr>
                  <w:t xml:space="preserve"> al-‘</w:t>
                </w:r>
                <w:proofErr w:type="spellStart"/>
                <w:r w:rsidRPr="00563858">
                  <w:rPr>
                    <w:lang w:val="en-US"/>
                  </w:rPr>
                  <w:t>umūmiyya</w:t>
                </w:r>
                <w:proofErr w:type="spellEnd"/>
                <w:r w:rsidRPr="00563858">
                  <w:rPr>
                    <w:lang w:val="en-US"/>
                  </w:rPr>
                  <w:t>.</w:t>
                </w:r>
              </w:p>
              <w:p w:rsidR="00C21612" w:rsidRPr="00563858" w:rsidRDefault="00C21612" w:rsidP="00C21612">
                <w:pPr>
                  <w:rPr>
                    <w:rFonts w:ascii="Calibri" w:hAnsi="Calibri"/>
                    <w:lang w:val="en-US"/>
                  </w:rPr>
                </w:pPr>
              </w:p>
              <w:p w:rsidR="00C21612" w:rsidRPr="00563858" w:rsidRDefault="00C21612" w:rsidP="00C21612">
                <w:pPr>
                  <w:pStyle w:val="Heading2"/>
                  <w:rPr>
                    <w:lang w:val="en-US"/>
                  </w:rPr>
                </w:pPr>
                <w:r w:rsidRPr="00563858">
                  <w:rPr>
                    <w:lang w:val="en-US"/>
                  </w:rPr>
                  <w:t>Theatre Plays</w:t>
                </w:r>
              </w:p>
              <w:p w:rsidR="00C21612" w:rsidRPr="00563858" w:rsidRDefault="00C21612" w:rsidP="00C21612">
                <w:pPr>
                  <w:rPr>
                    <w:rFonts w:ascii="Calibri" w:hAnsi="Calibri"/>
                    <w:lang w:val="en-US"/>
                  </w:rPr>
                </w:pP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al-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bakhīl</w:t>
                </w:r>
                <w:proofErr w:type="spellEnd"/>
                <w:r>
                  <w:rPr>
                    <w:rFonts w:ascii="Calibri" w:hAnsi="Calibri" w:hint="cs"/>
                    <w:i/>
                    <w:iCs/>
                    <w:rtl/>
                    <w:lang w:val="en-US"/>
                  </w:rPr>
                  <w:t xml:space="preserve"> البخيل</w:t>
                </w:r>
                <w:r w:rsidR="0084520A">
                  <w:rPr>
                    <w:rFonts w:ascii="Calibri" w:hAnsi="Calibri" w:hint="cs"/>
                    <w:i/>
                    <w:iCs/>
                    <w:rtl/>
                    <w:lang w:val="en-US"/>
                  </w:rPr>
                  <w:t xml:space="preserve"> </w:t>
                </w:r>
                <w:r w:rsidRPr="00563858">
                  <w:rPr>
                    <w:rFonts w:ascii="Calibri" w:hAnsi="Calibri"/>
                    <w:lang w:val="en-US"/>
                  </w:rPr>
                  <w:t>(The Miser)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r w:rsidRPr="00563858">
                  <w:rPr>
                    <w:rFonts w:ascii="Calibri" w:hAnsi="Calibri"/>
                    <w:lang w:val="en-US"/>
                  </w:rPr>
                  <w:t>1947</w:t>
                </w:r>
              </w:p>
              <w:p w:rsidR="00C21612" w:rsidRPr="00563858" w:rsidRDefault="00C21612" w:rsidP="00C21612">
                <w:pPr>
                  <w:rPr>
                    <w:rFonts w:ascii="Calibri" w:hAnsi="Calibri"/>
                    <w:lang w:val="en-US"/>
                  </w:rPr>
                </w:pPr>
                <w:r w:rsidRPr="0056385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Abū</w:t>
                </w:r>
                <w:proofErr w:type="spellEnd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´l-</w:t>
                </w:r>
                <w:proofErr w:type="spellStart"/>
                <w:r w:rsidRPr="00563858">
                  <w:rPr>
                    <w:rFonts w:ascii="Calibri" w:hAnsi="Calibri" w:cs="Times New Roman"/>
                    <w:i/>
                    <w:iCs/>
                    <w:lang w:val="en-US"/>
                  </w:rPr>
                  <w:t>Ḥ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asan</w:t>
                </w:r>
                <w:proofErr w:type="spellEnd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al-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mughaffal</w:t>
                </w:r>
                <w:proofErr w:type="spellEnd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aw </w:t>
                </w:r>
                <w:proofErr w:type="spellStart"/>
                <w:r w:rsidRPr="00FE35A0">
                  <w:rPr>
                    <w:rFonts w:ascii="Calibri" w:hAnsi="Calibri" w:cs="Times New Roman"/>
                    <w:i/>
                    <w:iCs/>
                    <w:lang w:val="en-US"/>
                  </w:rPr>
                  <w:t>H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ārūn</w:t>
                </w:r>
                <w:proofErr w:type="spellEnd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al-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Rashīd</w:t>
                </w:r>
                <w:proofErr w:type="spellEnd"/>
                <w:r w:rsidR="0084520A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 w:hint="cs"/>
                    <w:rtl/>
                    <w:lang w:val="en-US"/>
                  </w:rPr>
                  <w:t>أبو الحسن المغفل أو هارون الرشيد</w:t>
                </w:r>
                <w:r w:rsidRPr="00563858">
                  <w:rPr>
                    <w:rFonts w:ascii="Calibri" w:hAnsi="Calibri"/>
                    <w:lang w:val="en-US"/>
                  </w:rPr>
                  <w:t>(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Abū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´l-</w:t>
                </w:r>
                <w:proofErr w:type="spellStart"/>
                <w:r w:rsidRPr="00563858">
                  <w:rPr>
                    <w:rFonts w:ascii="Calibri" w:hAnsi="Calibri" w:cs="Times New Roman"/>
                    <w:lang w:val="en-US"/>
                  </w:rPr>
                  <w:t>Ḥ</w:t>
                </w:r>
                <w:r w:rsidRPr="00563858">
                  <w:rPr>
                    <w:rFonts w:ascii="Calibri" w:hAnsi="Calibri"/>
                    <w:lang w:val="en-US"/>
                  </w:rPr>
                  <w:t>asan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the Simpleton or</w:t>
                </w:r>
                <w:r w:rsidRPr="00563858">
                  <w:rPr>
                    <w:rFonts w:ascii="Calibri" w:hAnsi="Calibri" w:cs="Arial"/>
                    <w:lang w:val="en-US"/>
                  </w:rPr>
                  <w:t xml:space="preserve"> </w:t>
                </w:r>
                <w:proofErr w:type="spellStart"/>
                <w:r w:rsidRPr="00FE35A0">
                  <w:rPr>
                    <w:rFonts w:ascii="Calibri" w:hAnsi="Calibri" w:cs="Times New Roman"/>
                    <w:lang w:val="en-US"/>
                  </w:rPr>
                  <w:t>H</w:t>
                </w:r>
                <w:r w:rsidRPr="00563858">
                  <w:rPr>
                    <w:rFonts w:ascii="Calibri" w:hAnsi="Calibri"/>
                    <w:lang w:val="en-US"/>
                  </w:rPr>
                  <w:t>ārūn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 xml:space="preserve"> al-</w:t>
                </w:r>
                <w:proofErr w:type="spellStart"/>
                <w:r w:rsidRPr="00563858">
                  <w:rPr>
                    <w:rFonts w:ascii="Calibri" w:hAnsi="Calibri"/>
                    <w:lang w:val="en-US"/>
                  </w:rPr>
                  <w:t>Rashīd</w:t>
                </w:r>
                <w:proofErr w:type="spellEnd"/>
                <w:r w:rsidRPr="00563858">
                  <w:rPr>
                    <w:rFonts w:ascii="Calibri" w:hAnsi="Calibri"/>
                    <w:lang w:val="en-US"/>
                  </w:rPr>
                  <w:t>) 1850</w:t>
                </w:r>
              </w:p>
              <w:p w:rsidR="003F0D73" w:rsidRPr="00C21612" w:rsidRDefault="00C21612" w:rsidP="0084520A">
                <w:pPr>
                  <w:rPr>
                    <w:rFonts w:ascii="Calibri" w:hAnsi="Calibri"/>
                    <w:lang w:val="en-US"/>
                  </w:rPr>
                </w:pP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al-</w:t>
                </w:r>
                <w:proofErr w:type="spellStart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salīt</w:t>
                </w:r>
                <w:proofErr w:type="spellEnd"/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 xml:space="preserve"> al-</w:t>
                </w:r>
                <w:proofErr w:type="spellStart"/>
                <w:r>
                  <w:rPr>
                    <w:rFonts w:ascii="Arial" w:hAnsi="Arial" w:cs="Arial"/>
                    <w:i/>
                    <w:iCs/>
                    <w:lang w:val="en-US"/>
                  </w:rPr>
                  <w:t>ḥ</w:t>
                </w:r>
                <w:r w:rsidRPr="00563858">
                  <w:rPr>
                    <w:rFonts w:ascii="Calibri" w:hAnsi="Calibri"/>
                    <w:i/>
                    <w:iCs/>
                    <w:lang w:val="en-US"/>
                  </w:rPr>
                  <w:t>asūd</w:t>
                </w:r>
                <w:proofErr w:type="spellEnd"/>
                <w:r w:rsidR="0084520A">
                  <w:rPr>
                    <w:rFonts w:ascii="Calibri" w:hAnsi="Calibri"/>
                    <w:i/>
                    <w:iCs/>
                    <w:lang w:val="en-US"/>
                  </w:rPr>
                  <w:t xml:space="preserve"> </w:t>
                </w:r>
                <w:r w:rsidRPr="00FE35A0">
                  <w:rPr>
                    <w:rFonts w:ascii="Calibri" w:hAnsi="Calibri" w:hint="cs"/>
                    <w:rtl/>
                    <w:lang w:val="en-US"/>
                  </w:rPr>
                  <w:t xml:space="preserve"> السالط الحسود</w:t>
                </w:r>
                <w:r w:rsidRPr="00563858">
                  <w:rPr>
                    <w:rFonts w:ascii="Calibri" w:hAnsi="Calibri"/>
                    <w:lang w:val="en-US"/>
                  </w:rPr>
                  <w:t>(The Envious, Impertinent One) 1851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C21612" w:rsidRDefault="00C21612" w:rsidP="00C21612">
                <w:sdt>
                  <w:sdtPr>
                    <w:id w:val="16162426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Calibri" w:hAnsi="Calibri"/>
                        <w:lang w:val="en-CA"/>
                      </w:rPr>
                      <w:instrText xml:space="preserve"> CITATION Allen10 \l 4105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lang w:val="en-CA"/>
                      </w:rPr>
                      <w:t xml:space="preserve"> </w:t>
                    </w:r>
                    <w:r w:rsidRPr="00C21612">
                      <w:rPr>
                        <w:rFonts w:ascii="Calibri" w:hAnsi="Calibri"/>
                        <w:noProof/>
                        <w:lang w:val="en-CA"/>
                      </w:rPr>
                      <w:t>(Allen)</w:t>
                    </w:r>
                    <w:r>
                      <w:fldChar w:fldCharType="end"/>
                    </w:r>
                  </w:sdtContent>
                </w:sdt>
              </w:p>
              <w:p w:rsidR="0054092F" w:rsidRDefault="0054092F" w:rsidP="00FB11DE">
                <w:pPr>
                  <w:rPr>
                    <w:rFonts w:ascii="Calibri" w:hAnsi="Calibri"/>
                    <w:lang w:val="en-US"/>
                  </w:rPr>
                </w:pPr>
                <w:sdt>
                  <w:sdtPr>
                    <w:rPr>
                      <w:rFonts w:ascii="Calibri" w:hAnsi="Calibri"/>
                      <w:lang w:val="en-US"/>
                    </w:rPr>
                    <w:id w:val="928771896"/>
                    <w:citation/>
                  </w:sdtPr>
                  <w:sdtContent>
                    <w:r>
                      <w:rPr>
                        <w:rFonts w:ascii="Calibri" w:hAnsi="Calibri"/>
                        <w:lang w:val="en-US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CA"/>
                      </w:rPr>
                      <w:instrText xml:space="preserve"> CITATION Carlson13 \l 4105 </w:instrText>
                    </w:r>
                    <w:r>
                      <w:rPr>
                        <w:rFonts w:ascii="Calibri" w:hAnsi="Calibri"/>
                        <w:lang w:val="en-US"/>
                      </w:rPr>
                      <w:fldChar w:fldCharType="separate"/>
                    </w:r>
                    <w:r w:rsidRPr="0054092F">
                      <w:rPr>
                        <w:rFonts w:ascii="Calibri" w:hAnsi="Calibri"/>
                        <w:noProof/>
                        <w:lang w:val="en-CA"/>
                      </w:rPr>
                      <w:t>(Carlson)</w:t>
                    </w:r>
                    <w:r>
                      <w:rPr>
                        <w:rFonts w:ascii="Calibri" w:hAnsi="Calibri"/>
                        <w:lang w:val="en-US"/>
                      </w:rPr>
                      <w:fldChar w:fldCharType="end"/>
                    </w:r>
                  </w:sdtContent>
                </w:sdt>
              </w:p>
              <w:p w:rsidR="003235A7" w:rsidRPr="00C21612" w:rsidRDefault="0054092F" w:rsidP="00FB11DE">
                <w:pPr>
                  <w:rPr>
                    <w:rFonts w:ascii="Calibri" w:hAnsi="Calibri"/>
                    <w:lang w:val="en-US"/>
                  </w:rPr>
                </w:pPr>
                <w:sdt>
                  <w:sdtPr>
                    <w:rPr>
                      <w:rFonts w:ascii="Calibri" w:hAnsi="Calibri"/>
                      <w:lang w:val="en-US"/>
                    </w:rPr>
                    <w:id w:val="-1291427553"/>
                    <w:citation/>
                  </w:sdtPr>
                  <w:sdtContent>
                    <w:r>
                      <w:rPr>
                        <w:rFonts w:ascii="Calibri" w:hAnsi="Calibri"/>
                        <w:lang w:val="en-US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CA"/>
                      </w:rPr>
                      <w:instrText xml:space="preserve"> CITATION Dorrigo06 \l 4105 </w:instrText>
                    </w:r>
                    <w:r>
                      <w:rPr>
                        <w:rFonts w:ascii="Calibri" w:hAnsi="Calibri"/>
                        <w:lang w:val="en-US"/>
                      </w:rPr>
                      <w:fldChar w:fldCharType="separate"/>
                    </w:r>
                    <w:r w:rsidRPr="0054092F">
                      <w:rPr>
                        <w:rFonts w:ascii="Calibri" w:hAnsi="Calibri"/>
                        <w:noProof/>
                        <w:lang w:val="en-CA"/>
                      </w:rPr>
                      <w:t>(Dorrigo)</w:t>
                    </w:r>
                    <w:r>
                      <w:rPr>
                        <w:rFonts w:ascii="Calibri" w:hAnsi="Calibri"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092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520A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1612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2C40A0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2C40A0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2C40A0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2C40A0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2C40A0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2C40A0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2C40A0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2C40A0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2C40A0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2C40A0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2C40A0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C40A0"/>
    <w:rsid w:val="0057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Allen10</b:Tag>
    <b:SourceType>Book</b:SourceType>
    <b:Guid>{092DF683-D344-4607-AAA8-889FC562048D}</b:Guid>
    <b:Title>Essays in Arabic Literary Biography: 1850-1950</b:Title>
    <b:Year>2010</b:Year>
    <b:Medium>Print</b:Medium>
    <b:Author>
      <b:Author>
        <b:NameList>
          <b:Person>
            <b:Last>Allen</b:Last>
            <b:First>Roger</b:First>
            <b:Middle>(ed.)</b:Middle>
          </b:Person>
        </b:NameList>
      </b:Author>
    </b:Author>
    <b:City>Wiesbaden</b:City>
    <b:Publisher>Harrassowitz Verlag</b:Publisher>
    <b:RefOrder>1</b:RefOrder>
  </b:Source>
  <b:Source>
    <b:Tag>Carlson13</b:Tag>
    <b:SourceType>JournalArticle</b:SourceType>
    <b:Guid>{A89ED974-177C-4F65-BC3D-F3D1BD7BA096}</b:Guid>
    <b:Title>Negotiating Theatrical Modernism in the Arab World</b:Title>
    <b:Year>Vol. 64, No. 4 (2013)</b:Year>
    <b:Medium>Article</b:Medium>
    <b:Author>
      <b:Author>
        <b:NameList>
          <b:Person>
            <b:Last>Carlson</b:Last>
            <b:First>Marvin</b:First>
          </b:Person>
        </b:NameList>
      </b:Author>
    </b:Author>
    <b:JournalName>Theatre Journal</b:JournalName>
    <b:Pages>523-535</b:Pages>
    <b:RefOrder>2</b:RefOrder>
  </b:Source>
  <b:Source>
    <b:Tag>Dorrigo06</b:Tag>
    <b:SourceType>BookSection</b:SourceType>
    <b:Guid>{DFBE2C2C-EE44-42DD-8D90-6086D6DD90D4}</b:Guid>
    <b:Author>
      <b:Author>
        <b:NameList>
          <b:Person>
            <b:Last>Dorrigo</b:Last>
            <b:First>R.</b:First>
          </b:Person>
        </b:NameList>
      </b:Author>
      <b:BookAuthor>
        <b:NameList>
          <b:Person>
            <b:Last>Deheuvels</b:Last>
            <b:First>Luc-Willy</b:First>
          </b:Person>
          <b:Person>
            <b:Last>Michalak-Pikulska</b:Last>
            <b:First>Barbara</b:First>
          </b:Person>
          <b:Person>
            <b:Last>Starkey</b:Last>
            <b:First>Paul</b:First>
            <b:Middle>(eds.)</b:Middle>
          </b:Person>
        </b:NameList>
      </b:BookAuthor>
    </b:Author>
    <b:Title>Intertextual and Intratextual Processes in al-Malik huwa al-Malik by Sa‘ad Allah Wannūs</b:Title>
    <b:BookTitle>Intertextuality in Modern Arabic Literature since 1967</b:BookTitle>
    <b:Year>2006</b:Year>
    <b:City>Durham</b:City>
    <b:Publisher>Durham Modern Language Series</b:Publisher>
    <b:Medium>Print</b:Medium>
    <b:RefOrder>3</b:RefOrder>
  </b:Source>
</b:Sources>
</file>

<file path=customXml/itemProps1.xml><?xml version="1.0" encoding="utf-8"?>
<ds:datastoreItem xmlns:ds="http://schemas.openxmlformats.org/officeDocument/2006/customXml" ds:itemID="{FBED5EC7-F789-4A54-8B93-4122622FA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2015-12-09T02:37:00Z</dcterms:created>
  <dcterms:modified xsi:type="dcterms:W3CDTF">2015-12-09T02:37:00Z</dcterms:modified>
</cp:coreProperties>
</file>