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A7B273" w14:textId="77777777" w:rsidTr="00922950">
        <w:tc>
          <w:tcPr>
            <w:tcW w:w="491" w:type="dxa"/>
            <w:vMerge w:val="restart"/>
            <w:shd w:val="clear" w:color="auto" w:fill="A6A6A6" w:themeFill="background1" w:themeFillShade="A6"/>
            <w:textDirection w:val="btLr"/>
          </w:tcPr>
          <w:p w14:paraId="28B5B6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F5EAF0862D684493942AF8E98074ED"/>
            </w:placeholder>
            <w:showingPlcHdr/>
            <w:dropDownList>
              <w:listItem w:displayText="Dr." w:value="Dr."/>
              <w:listItem w:displayText="Prof." w:value="Prof."/>
            </w:dropDownList>
          </w:sdtPr>
          <w:sdtContent>
            <w:tc>
              <w:tcPr>
                <w:tcW w:w="1259" w:type="dxa"/>
              </w:tcPr>
              <w:p w14:paraId="5E1A32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6ADA4FA4C6B44597B0D53557D12D1C"/>
            </w:placeholder>
            <w:text/>
          </w:sdtPr>
          <w:sdtContent>
            <w:tc>
              <w:tcPr>
                <w:tcW w:w="2073" w:type="dxa"/>
              </w:tcPr>
              <w:p w14:paraId="2E0904B9" w14:textId="77777777" w:rsidR="00B574C9" w:rsidRDefault="00D5549D" w:rsidP="00D5549D">
                <w:r>
                  <w:t>Nell</w:t>
                </w:r>
              </w:p>
            </w:tc>
          </w:sdtContent>
        </w:sdt>
        <w:sdt>
          <w:sdtPr>
            <w:alias w:val="Middle name"/>
            <w:tag w:val="authorMiddleName"/>
            <w:id w:val="-2076034781"/>
            <w:placeholder>
              <w:docPart w:val="DFC6389A63B4BF41ACE094C2D092D381"/>
            </w:placeholder>
            <w:showingPlcHdr/>
            <w:text/>
          </w:sdtPr>
          <w:sdtContent>
            <w:tc>
              <w:tcPr>
                <w:tcW w:w="2551" w:type="dxa"/>
              </w:tcPr>
              <w:p w14:paraId="2B0708FF" w14:textId="77777777" w:rsidR="00B574C9" w:rsidRDefault="00B574C9" w:rsidP="00922950">
                <w:r>
                  <w:rPr>
                    <w:rStyle w:val="PlaceholderText"/>
                  </w:rPr>
                  <w:t>[Middle name]</w:t>
                </w:r>
              </w:p>
            </w:tc>
          </w:sdtContent>
        </w:sdt>
        <w:sdt>
          <w:sdtPr>
            <w:alias w:val="Last name"/>
            <w:tag w:val="authorLastName"/>
            <w:id w:val="-1088529830"/>
            <w:placeholder>
              <w:docPart w:val="CE35CE2A0D5EAA4EA3493D1575E343B2"/>
            </w:placeholder>
            <w:text/>
          </w:sdtPr>
          <w:sdtContent>
            <w:tc>
              <w:tcPr>
                <w:tcW w:w="2642" w:type="dxa"/>
              </w:tcPr>
              <w:p w14:paraId="47F0E5AB" w14:textId="77777777" w:rsidR="00B574C9" w:rsidRDefault="00D5549D" w:rsidP="00D5549D">
                <w:r>
                  <w:t>Andrew</w:t>
                </w:r>
              </w:p>
            </w:tc>
          </w:sdtContent>
        </w:sdt>
      </w:tr>
      <w:tr w:rsidR="00B574C9" w14:paraId="0C9AD66D" w14:textId="77777777" w:rsidTr="001A6A06">
        <w:trPr>
          <w:trHeight w:val="986"/>
        </w:trPr>
        <w:tc>
          <w:tcPr>
            <w:tcW w:w="491" w:type="dxa"/>
            <w:vMerge/>
            <w:shd w:val="clear" w:color="auto" w:fill="A6A6A6" w:themeFill="background1" w:themeFillShade="A6"/>
          </w:tcPr>
          <w:p w14:paraId="5F75E41B" w14:textId="77777777" w:rsidR="00B574C9" w:rsidRPr="001A6A06" w:rsidRDefault="00B574C9" w:rsidP="00CF1542">
            <w:pPr>
              <w:jc w:val="center"/>
              <w:rPr>
                <w:b/>
                <w:color w:val="FFFFFF" w:themeColor="background1"/>
              </w:rPr>
            </w:pPr>
          </w:p>
        </w:tc>
        <w:sdt>
          <w:sdtPr>
            <w:alias w:val="Biography"/>
            <w:tag w:val="authorBiography"/>
            <w:id w:val="938807824"/>
            <w:placeholder>
              <w:docPart w:val="EB00721BD824B74AA73E23001DF5FB70"/>
            </w:placeholder>
            <w:showingPlcHdr/>
          </w:sdtPr>
          <w:sdtContent>
            <w:tc>
              <w:tcPr>
                <w:tcW w:w="8525" w:type="dxa"/>
                <w:gridSpan w:val="4"/>
              </w:tcPr>
              <w:p w14:paraId="48BCC33D" w14:textId="77777777" w:rsidR="00B574C9" w:rsidRDefault="00B574C9" w:rsidP="00922950">
                <w:r>
                  <w:rPr>
                    <w:rStyle w:val="PlaceholderText"/>
                  </w:rPr>
                  <w:t>[Enter your biography]</w:t>
                </w:r>
              </w:p>
            </w:tc>
          </w:sdtContent>
        </w:sdt>
      </w:tr>
      <w:tr w:rsidR="00B574C9" w14:paraId="59455874" w14:textId="77777777" w:rsidTr="001A6A06">
        <w:trPr>
          <w:trHeight w:val="986"/>
        </w:trPr>
        <w:tc>
          <w:tcPr>
            <w:tcW w:w="491" w:type="dxa"/>
            <w:vMerge/>
            <w:shd w:val="clear" w:color="auto" w:fill="A6A6A6" w:themeFill="background1" w:themeFillShade="A6"/>
          </w:tcPr>
          <w:p w14:paraId="2B20D037" w14:textId="77777777" w:rsidR="00B574C9" w:rsidRPr="001A6A06" w:rsidRDefault="00B574C9" w:rsidP="00CF1542">
            <w:pPr>
              <w:jc w:val="center"/>
              <w:rPr>
                <w:b/>
                <w:color w:val="FFFFFF" w:themeColor="background1"/>
              </w:rPr>
            </w:pPr>
          </w:p>
        </w:tc>
        <w:sdt>
          <w:sdtPr>
            <w:alias w:val="Affiliation"/>
            <w:tag w:val="affiliation"/>
            <w:id w:val="2012937915"/>
            <w:placeholder>
              <w:docPart w:val="5CBA3F303655E54EB2E39F5C627FEFAA"/>
            </w:placeholder>
            <w:showingPlcHdr/>
            <w:text/>
          </w:sdtPr>
          <w:sdtContent>
            <w:tc>
              <w:tcPr>
                <w:tcW w:w="8525" w:type="dxa"/>
                <w:gridSpan w:val="4"/>
              </w:tcPr>
              <w:p w14:paraId="24E0A5CC" w14:textId="77777777" w:rsidR="00B574C9" w:rsidRDefault="00B574C9" w:rsidP="00B574C9">
                <w:r>
                  <w:rPr>
                    <w:rStyle w:val="PlaceholderText"/>
                  </w:rPr>
                  <w:t>[Enter the institution with which you are affiliated]</w:t>
                </w:r>
              </w:p>
            </w:tc>
          </w:sdtContent>
        </w:sdt>
      </w:tr>
    </w:tbl>
    <w:p w14:paraId="545F2F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8C182D" w14:textId="77777777" w:rsidTr="00244BB0">
        <w:tc>
          <w:tcPr>
            <w:tcW w:w="9016" w:type="dxa"/>
            <w:shd w:val="clear" w:color="auto" w:fill="A6A6A6" w:themeFill="background1" w:themeFillShade="A6"/>
            <w:tcMar>
              <w:top w:w="113" w:type="dxa"/>
              <w:bottom w:w="113" w:type="dxa"/>
            </w:tcMar>
          </w:tcPr>
          <w:p w14:paraId="62B61D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07C7A8" w14:textId="77777777" w:rsidTr="003F0D73">
        <w:sdt>
          <w:sdtPr>
            <w:rPr>
              <w:b/>
            </w:rPr>
            <w:alias w:val="Article headword"/>
            <w:tag w:val="articleHeadword"/>
            <w:id w:val="-361440020"/>
            <w:placeholder>
              <w:docPart w:val="62F86F174F6E78458F54C0566ED50C7A"/>
            </w:placeholder>
            <w:text/>
          </w:sdtPr>
          <w:sdtContent>
            <w:tc>
              <w:tcPr>
                <w:tcW w:w="9016" w:type="dxa"/>
                <w:tcMar>
                  <w:top w:w="113" w:type="dxa"/>
                  <w:bottom w:w="113" w:type="dxa"/>
                </w:tcMar>
              </w:tcPr>
              <w:p w14:paraId="3C887BF2" w14:textId="77777777" w:rsidR="003F0D73" w:rsidRPr="00FB589A" w:rsidRDefault="00D5549D" w:rsidP="00D5549D">
                <w:pPr>
                  <w:rPr>
                    <w:b/>
                  </w:rPr>
                </w:pPr>
                <w:r>
                  <w:rPr>
                    <w:b/>
                  </w:rPr>
                  <w:t>Expressionism and Dance</w:t>
                </w:r>
              </w:p>
            </w:tc>
          </w:sdtContent>
        </w:sdt>
      </w:tr>
      <w:tr w:rsidR="00464699" w14:paraId="4F69ACD8" w14:textId="77777777" w:rsidTr="00D5549D">
        <w:sdt>
          <w:sdtPr>
            <w:alias w:val="Variant headwords"/>
            <w:tag w:val="variantHeadwords"/>
            <w:id w:val="173464402"/>
            <w:placeholder>
              <w:docPart w:val="075522A429DF694D8023102D4646E6FA"/>
            </w:placeholder>
            <w:showingPlcHdr/>
          </w:sdtPr>
          <w:sdtContent>
            <w:tc>
              <w:tcPr>
                <w:tcW w:w="9016" w:type="dxa"/>
                <w:tcMar>
                  <w:top w:w="113" w:type="dxa"/>
                  <w:bottom w:w="113" w:type="dxa"/>
                </w:tcMar>
              </w:tcPr>
              <w:p w14:paraId="548362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FAEA2C" w14:textId="77777777" w:rsidTr="003F0D73">
        <w:sdt>
          <w:sdtPr>
            <w:alias w:val="Abstract"/>
            <w:tag w:val="abstract"/>
            <w:id w:val="-635871867"/>
            <w:placeholder>
              <w:docPart w:val="A7DB9D8B9EE08E42AB54433569354405"/>
            </w:placeholder>
          </w:sdtPr>
          <w:sdtContent>
            <w:tc>
              <w:tcPr>
                <w:tcW w:w="9016" w:type="dxa"/>
                <w:tcMar>
                  <w:top w:w="113" w:type="dxa"/>
                  <w:bottom w:w="113" w:type="dxa"/>
                </w:tcMar>
              </w:tcPr>
              <w:p w14:paraId="2418B595" w14:textId="0BED0556" w:rsidR="00E85A05" w:rsidRDefault="00F378BC" w:rsidP="00E85A05">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absolute or new dance, and by </w:t>
                </w:r>
                <w:r>
                  <w:t>the mid-</w:t>
                </w:r>
                <w:r w:rsidRPr="002700D6">
                  <w:t xml:space="preserve">1920s, </w:t>
                </w:r>
                <w:r>
                  <w:t xml:space="preserve">a broad-based movement called, among other terms, modern dance, new artistic dance, and </w:t>
                </w:r>
                <w:proofErr w:type="spellStart"/>
                <w:r w:rsidRPr="006A0DD8">
                  <w:rPr>
                    <w:i/>
                  </w:rPr>
                  <w:t>Tanzkunst</w:t>
                </w:r>
                <w:proofErr w:type="spellEnd"/>
                <w:r w:rsidR="005940D6">
                  <w:t xml:space="preserve"> (‘dance art’</w:t>
                </w:r>
                <w:r>
                  <w:t>).</w:t>
                </w:r>
                <w:r>
                  <w:rPr>
                    <w:rStyle w:val="FootnoteReference"/>
                    <w:rFonts w:ascii="Times New Roman" w:hAnsi="Times New Roman" w:cs="Times New Roman"/>
                    <w:sz w:val="24"/>
                    <w:szCs w:val="24"/>
                  </w:rPr>
                  <w:footnoteReference w:id="1"/>
                </w:r>
                <w:r w:rsidRPr="002700D6">
                  <w:t xml:space="preserve"> Expressionism in dance is largely associated with the years 1911 to 1936 and the work in Switzerland and Germany of its primary theorist, Rudolf Laban, and choreographer Mary </w:t>
                </w:r>
                <w:proofErr w:type="spellStart"/>
                <w:r w:rsidRPr="002700D6">
                  <w:t>Wigman</w:t>
                </w:r>
                <w:proofErr w:type="spellEnd"/>
                <w:r w:rsidRPr="002700D6">
                  <w:t xml:space="preserve">. </w:t>
                </w:r>
                <w:r w:rsidR="005940D6">
                  <w:t xml:space="preserve">This </w:t>
                </w:r>
                <w:proofErr w:type="spellStart"/>
                <w:r w:rsidR="005940D6">
                  <w:t>periodis</w:t>
                </w:r>
                <w:r>
                  <w:t>ation</w:t>
                </w:r>
                <w:proofErr w:type="spellEnd"/>
                <w:r>
                  <w:t xml:space="preserve"> contrasts with the art-historical designation of </w:t>
                </w:r>
                <w:r w:rsidRPr="002700D6">
                  <w:t xml:space="preserve">German Expressionism </w:t>
                </w:r>
                <w:r>
                  <w:t xml:space="preserve">as </w:t>
                </w:r>
                <w:r w:rsidRPr="002700D6">
                  <w:t>a movement in the visual arts from 1905 to 1920 associated with the activit</w:t>
                </w:r>
                <w:r w:rsidR="005940D6">
                  <w:t>y surrounding the Bridge group [</w:t>
                </w:r>
                <w:proofErr w:type="spellStart"/>
                <w:r w:rsidRPr="00A172F9">
                  <w:rPr>
                    <w:i/>
                  </w:rPr>
                  <w:t>Künstlergruppe</w:t>
                </w:r>
                <w:proofErr w:type="spellEnd"/>
                <w:r w:rsidRPr="00A172F9">
                  <w:rPr>
                    <w:i/>
                  </w:rPr>
                  <w:t xml:space="preserve"> </w:t>
                </w:r>
                <w:proofErr w:type="spellStart"/>
                <w:r w:rsidRPr="00A172F9">
                  <w:rPr>
                    <w:i/>
                  </w:rPr>
                  <w:t>Brücke</w:t>
                </w:r>
                <w:proofErr w:type="spellEnd"/>
                <w:r w:rsidR="005940D6">
                  <w:t>]</w:t>
                </w:r>
                <w:r w:rsidRPr="002700D6">
                  <w:t xml:space="preserve"> in</w:t>
                </w:r>
                <w:r w:rsidR="005940D6">
                  <w:t xml:space="preserve"> Dresden, The Blue Rider group [</w:t>
                </w:r>
                <w:r w:rsidRPr="00A172F9">
                  <w:rPr>
                    <w:i/>
                  </w:rPr>
                  <w:t xml:space="preserve">Der </w:t>
                </w:r>
                <w:proofErr w:type="spellStart"/>
                <w:r w:rsidRPr="00A172F9">
                  <w:rPr>
                    <w:i/>
                  </w:rPr>
                  <w:t>Blaue</w:t>
                </w:r>
                <w:proofErr w:type="spellEnd"/>
                <w:r w:rsidRPr="00A172F9">
                  <w:rPr>
                    <w:i/>
                  </w:rPr>
                  <w:t xml:space="preserve"> Reiter</w:t>
                </w:r>
                <w:r w:rsidR="005940D6">
                  <w:t>]</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w:t>
                </w:r>
                <w:proofErr w:type="spellStart"/>
                <w:r w:rsidRPr="002700D6">
                  <w:t>Nolde</w:t>
                </w:r>
                <w:proofErr w:type="spellEnd"/>
                <w:r w:rsidRPr="002700D6">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Pr="002700D6">
                  <w:t>Vasily</w:t>
                </w:r>
                <w:proofErr w:type="spellEnd"/>
                <w:r w:rsidRPr="002700D6">
                  <w:t xml:space="preserve">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r, and time. Expressionist practitioner</w:t>
                </w:r>
                <w:r w:rsidR="005940D6">
                  <w:t>s in both art and dance emphasis</w:t>
                </w:r>
                <w:r w:rsidRPr="002700D6">
                  <w:t xml:space="preserve">ed shared inner necessity and eternal principles over form and helped forge the watershed modernist development of abstraction. As </w:t>
                </w:r>
                <w:r>
                  <w:t>E</w:t>
                </w:r>
                <w:r w:rsidRPr="002700D6">
                  <w:t xml:space="preserve">xpressionism in dance focused </w:t>
                </w:r>
                <w:r w:rsidR="005940D6">
                  <w:t>on reaching absolute expression</w:t>
                </w:r>
                <w:r w:rsidRPr="002700D6">
                  <w:t xml:space="preserve">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self might communicate universal or absolute content.</w:t>
                </w:r>
              </w:p>
            </w:tc>
          </w:sdtContent>
        </w:sdt>
      </w:tr>
      <w:tr w:rsidR="003F0D73" w14:paraId="743A7184" w14:textId="77777777" w:rsidTr="003F0D73">
        <w:sdt>
          <w:sdtPr>
            <w:alias w:val="Article text"/>
            <w:tag w:val="articleText"/>
            <w:id w:val="634067588"/>
            <w:placeholder>
              <w:docPart w:val="EF294589714C16439D9B3BE9BA4CD57E"/>
            </w:placeholder>
          </w:sdtPr>
          <w:sdtContent>
            <w:tc>
              <w:tcPr>
                <w:tcW w:w="9016" w:type="dxa"/>
                <w:tcMar>
                  <w:top w:w="113" w:type="dxa"/>
                  <w:bottom w:w="113" w:type="dxa"/>
                </w:tcMar>
              </w:tcPr>
              <w:p w14:paraId="4EF67A0B" w14:textId="5D860EE1" w:rsidR="00D5549D" w:rsidRDefault="00D5549D" w:rsidP="00D5549D"/>
              <w:p w14:paraId="60B4CC97" w14:textId="77777777" w:rsidR="00D5549D" w:rsidRPr="002700D6" w:rsidRDefault="00D5549D" w:rsidP="00D5549D">
                <w:pPr>
                  <w:pStyle w:val="Heading1"/>
                  <w:outlineLvl w:val="0"/>
                </w:pPr>
                <w:r w:rsidRPr="002700D6">
                  <w:t>Expressionism and Dance</w:t>
                </w:r>
              </w:p>
              <w:p w14:paraId="5821578D" w14:textId="6D23DB3B" w:rsidR="00D5549D" w:rsidRDefault="005940D6" w:rsidP="00044353">
                <w:sdt>
                  <w:sdtPr>
                    <w:alias w:val="Abstract"/>
                    <w:tag w:val="abstract"/>
                    <w:id w:val="-88475609"/>
                    <w:placeholder>
                      <w:docPart w:val="4B3E9E8A5E1B78439B7DFFAA03297147"/>
                    </w:placeholder>
                  </w:sdtPr>
                  <w:sdtContent>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w:t>
                    </w:r>
                    <w:r w:rsidRPr="002700D6">
                      <w:lastRenderedPageBreak/>
                      <w:t xml:space="preserve">absolute or new dance, and by </w:t>
                    </w:r>
                    <w:r>
                      <w:t>the mid-</w:t>
                    </w:r>
                    <w:r w:rsidRPr="002700D6">
                      <w:t xml:space="preserve">1920s, </w:t>
                    </w:r>
                    <w:r>
                      <w:t xml:space="preserve">a broad-based movement called, among other terms, modern dance, new artistic dance, and </w:t>
                    </w:r>
                    <w:proofErr w:type="spellStart"/>
                    <w:r w:rsidRPr="006A0DD8">
                      <w:rPr>
                        <w:i/>
                      </w:rPr>
                      <w:t>Tanzkunst</w:t>
                    </w:r>
                    <w:proofErr w:type="spellEnd"/>
                    <w:r>
                      <w:t xml:space="preserve"> (‘dance art’).</w:t>
                    </w:r>
                    <w:r>
                      <w:rPr>
                        <w:rStyle w:val="FootnoteReference"/>
                        <w:rFonts w:ascii="Times New Roman" w:hAnsi="Times New Roman" w:cs="Times New Roman"/>
                        <w:sz w:val="24"/>
                        <w:szCs w:val="24"/>
                      </w:rPr>
                      <w:footnoteReference w:id="2"/>
                    </w:r>
                    <w:r w:rsidRPr="002700D6">
                      <w:t xml:space="preserve"> Expressionism in dance is largely associated with the years 1911 to 1936 and the work in Switzerland and Germany of its primary theorist, Rudolf Laban, and choreographer Mary </w:t>
                    </w:r>
                    <w:proofErr w:type="spellStart"/>
                    <w:r w:rsidRPr="002700D6">
                      <w:t>Wigman</w:t>
                    </w:r>
                    <w:proofErr w:type="spellEnd"/>
                    <w:r w:rsidRPr="002700D6">
                      <w:t xml:space="preserve">. </w:t>
                    </w:r>
                    <w:r>
                      <w:t xml:space="preserve">This </w:t>
                    </w:r>
                    <w:proofErr w:type="spellStart"/>
                    <w:r>
                      <w:t>periodisation</w:t>
                    </w:r>
                    <w:proofErr w:type="spellEnd"/>
                    <w:r>
                      <w:t xml:space="preserve"> contrasts with the art-historical designation of </w:t>
                    </w:r>
                    <w:r w:rsidRPr="002700D6">
                      <w:t xml:space="preserve">German Expressionism </w:t>
                    </w:r>
                    <w:r>
                      <w:t xml:space="preserve">as </w:t>
                    </w:r>
                    <w:r w:rsidRPr="002700D6">
                      <w:t>a movement in the visual arts from 1905 to 1920 associated with the activit</w:t>
                    </w:r>
                    <w:r>
                      <w:t>y surrounding the Bridge group [</w:t>
                    </w:r>
                    <w:proofErr w:type="spellStart"/>
                    <w:r w:rsidRPr="00A172F9">
                      <w:rPr>
                        <w:i/>
                      </w:rPr>
                      <w:t>Künstlergruppe</w:t>
                    </w:r>
                    <w:proofErr w:type="spellEnd"/>
                    <w:r w:rsidRPr="00A172F9">
                      <w:rPr>
                        <w:i/>
                      </w:rPr>
                      <w:t xml:space="preserve"> </w:t>
                    </w:r>
                    <w:proofErr w:type="spellStart"/>
                    <w:r w:rsidRPr="00A172F9">
                      <w:rPr>
                        <w:i/>
                      </w:rPr>
                      <w:t>Brücke</w:t>
                    </w:r>
                    <w:proofErr w:type="spellEnd"/>
                    <w:r>
                      <w:t>]</w:t>
                    </w:r>
                    <w:r w:rsidRPr="002700D6">
                      <w:t xml:space="preserve"> in</w:t>
                    </w:r>
                    <w:r>
                      <w:t xml:space="preserve"> Dresden, The Blue Rider group [</w:t>
                    </w:r>
                    <w:r w:rsidRPr="00A172F9">
                      <w:rPr>
                        <w:i/>
                      </w:rPr>
                      <w:t xml:space="preserve">Der </w:t>
                    </w:r>
                    <w:proofErr w:type="spellStart"/>
                    <w:r w:rsidRPr="00A172F9">
                      <w:rPr>
                        <w:i/>
                      </w:rPr>
                      <w:t>Blaue</w:t>
                    </w:r>
                    <w:proofErr w:type="spellEnd"/>
                    <w:r w:rsidRPr="00A172F9">
                      <w:rPr>
                        <w:i/>
                      </w:rPr>
                      <w:t xml:space="preserve"> Reiter</w:t>
                    </w:r>
                    <w:r>
                      <w:t>]</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w:t>
                    </w:r>
                    <w:proofErr w:type="spellStart"/>
                    <w:r w:rsidRPr="002700D6">
                      <w:t>Nolde</w:t>
                    </w:r>
                    <w:proofErr w:type="spellEnd"/>
                    <w:r w:rsidRPr="002700D6">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Pr="002700D6">
                      <w:t>Vasily</w:t>
                    </w:r>
                    <w:proofErr w:type="spellEnd"/>
                    <w:r w:rsidRPr="002700D6">
                      <w:t xml:space="preserve">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r, and time. Expressionist practitioner</w:t>
                    </w:r>
                    <w:r>
                      <w:t>s in both art and dance emphasis</w:t>
                    </w:r>
                    <w:r w:rsidRPr="002700D6">
                      <w:t xml:space="preserve">ed shared inner necessity and eternal principles over form and helped forge the watershed modernist development of abstraction. As </w:t>
                    </w:r>
                    <w:r>
                      <w:t>E</w:t>
                    </w:r>
                    <w:r w:rsidRPr="002700D6">
                      <w:t xml:space="preserve">xpressionism in dance focused </w:t>
                    </w:r>
                    <w:r>
                      <w:t>on reaching absolute expression</w:t>
                    </w:r>
                    <w:r w:rsidRPr="002700D6">
                      <w:t xml:space="preserve">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self might communicate universal or absolute content.</w:t>
                    </w:r>
                  </w:sdtContent>
                </w:sdt>
              </w:p>
              <w:p w14:paraId="139E5B06" w14:textId="77777777" w:rsidR="00044353" w:rsidRPr="002700D6" w:rsidRDefault="00044353" w:rsidP="00044353"/>
              <w:p w14:paraId="12289697" w14:textId="77777777" w:rsidR="00D5549D" w:rsidRPr="00A172F9" w:rsidRDefault="00D5549D" w:rsidP="00D5549D">
                <w:pPr>
                  <w:pStyle w:val="Heading1"/>
                  <w:outlineLvl w:val="0"/>
                </w:pPr>
                <w:r w:rsidRPr="00A172F9">
                  <w:t xml:space="preserve">Origins and </w:t>
                </w:r>
                <w:r>
                  <w:t>M</w:t>
                </w:r>
                <w:r w:rsidRPr="00A172F9">
                  <w:t xml:space="preserve">ajor </w:t>
                </w:r>
                <w:r>
                  <w:t>F</w:t>
                </w:r>
                <w:r w:rsidRPr="00A172F9">
                  <w:t>igures</w:t>
                </w:r>
              </w:p>
              <w:p w14:paraId="3A25D494" w14:textId="453034E0" w:rsidR="00D5549D" w:rsidRPr="002700D6" w:rsidRDefault="00D5549D" w:rsidP="00D5549D">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rsidR="00044353">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In the field of psychology, Wilhelm </w:t>
                </w:r>
                <w:proofErr w:type="spellStart"/>
                <w:r w:rsidRPr="002700D6">
                  <w:t>Worringer’s</w:t>
                </w:r>
                <w:proofErr w:type="spellEnd"/>
                <w:r w:rsidRPr="002700D6">
                  <w:t xml:space="preserve"> </w:t>
                </w:r>
                <w:proofErr w:type="gramStart"/>
                <w:r w:rsidRPr="002700D6">
                  <w:t>widely-read</w:t>
                </w:r>
                <w:proofErr w:type="gramEnd"/>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585914AB" w14:textId="77777777" w:rsidR="00D5549D" w:rsidRPr="002700D6" w:rsidRDefault="00D5549D" w:rsidP="00D5549D"/>
              <w:p w14:paraId="6C7ADB54" w14:textId="77777777" w:rsidR="00D5549D" w:rsidRPr="00BB0713" w:rsidRDefault="00D5549D" w:rsidP="00D5549D">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403D2558" w14:textId="2CA8D927" w:rsidR="00D5549D" w:rsidRPr="002700D6" w:rsidRDefault="00D5549D" w:rsidP="00D5549D">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w:t>
                </w:r>
                <w:r w:rsidRPr="002700D6">
                  <w:lastRenderedPageBreak/>
                  <w:t xml:space="preserve">notation for a new dance. Promoting gymnastics, a vegetarian diet, freedom of dress, and connectedness to nature and the cosmos, Laban trained amateur dancers as </w:t>
                </w:r>
                <w:r>
                  <w:t>‘</w:t>
                </w:r>
                <w:r w:rsidRPr="002700D6">
                  <w:t>movement choirs</w:t>
                </w:r>
                <w:r>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rsidR="00044353">
                  <w:t>odel for harmony between civilis</w:t>
                </w:r>
                <w:r w:rsidRPr="002700D6">
                  <w:t>ation and spiritual life.</w:t>
                </w:r>
              </w:p>
              <w:p w14:paraId="04CE7651" w14:textId="77777777" w:rsidR="00D5549D" w:rsidRPr="002700D6" w:rsidRDefault="00D5549D" w:rsidP="00D5549D"/>
              <w:p w14:paraId="7F9DB0A1" w14:textId="7350CC0F" w:rsidR="00D5549D" w:rsidRPr="002700D6" w:rsidRDefault="00D5549D" w:rsidP="00D5549D">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rsidR="00044353">
                  <w:t xml:space="preserve"> [</w:t>
                </w:r>
                <w:proofErr w:type="spellStart"/>
                <w:r w:rsidRPr="00444CAA">
                  <w:rPr>
                    <w:i/>
                  </w:rPr>
                  <w:t>Hexentanz</w:t>
                </w:r>
                <w:proofErr w:type="spellEnd"/>
                <w:r w:rsidR="00044353">
                  <w:t>]</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5F8DFAF6" w14:textId="77777777" w:rsidR="00D5549D" w:rsidRPr="002700D6" w:rsidRDefault="00D5549D" w:rsidP="00D5549D"/>
              <w:p w14:paraId="64E18D8D" w14:textId="77777777" w:rsidR="00D5549D" w:rsidRPr="0082353F" w:rsidRDefault="00D5549D" w:rsidP="00D5549D">
                <w:pPr>
                  <w:pStyle w:val="Heading1"/>
                  <w:outlineLvl w:val="0"/>
                </w:pPr>
                <w:r w:rsidRPr="0082353F">
                  <w:t>Legacy for Modernism</w:t>
                </w:r>
              </w:p>
              <w:p w14:paraId="3C00406D" w14:textId="5766120D" w:rsidR="00D5549D" w:rsidRDefault="00D5549D" w:rsidP="00D5549D">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rsidR="00B01618">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rsidR="00B01618">
                  <w:t xml:space="preserve"> and Laban organis</w:t>
                </w:r>
                <w:r>
                  <w:t xml:space="preserve">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0B46625" w14:textId="77777777" w:rsidR="00D5549D" w:rsidRDefault="00D5549D" w:rsidP="00D5549D"/>
              <w:p w14:paraId="5E798C00" w14:textId="132464E6" w:rsidR="006C6D67" w:rsidRDefault="00D5549D" w:rsidP="00D5549D">
                <w:r>
                  <w:t xml:space="preserve">In the 1970s and 1980s, as German visual artists revisited 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rsidR="00B01618">
                  <w:t xml:space="preserve"> [</w:t>
                </w:r>
                <w:r w:rsidR="00B01618" w:rsidRPr="00B01618">
                  <w:rPr>
                    <w:i/>
                  </w:rPr>
                  <w:t>dance theatre</w:t>
                </w:r>
                <w:r w:rsidR="00B01618">
                  <w:t>]</w:t>
                </w:r>
                <w:r>
                  <w:t xml:space="preserve">. </w:t>
                </w:r>
              </w:p>
              <w:p w14:paraId="36C174CB" w14:textId="77777777" w:rsidR="006C6D67" w:rsidRDefault="006C6D67" w:rsidP="00D5549D"/>
              <w:p w14:paraId="3093A0AD" w14:textId="4A87D0FB" w:rsidR="006C6D67" w:rsidRPr="00B01618" w:rsidRDefault="006464C7" w:rsidP="006C6D67">
                <w:r>
                  <w:t>[File: golden.jpg]</w:t>
                </w:r>
              </w:p>
              <w:p w14:paraId="281DF963" w14:textId="2641F375" w:rsidR="006464C7" w:rsidRPr="00B01618" w:rsidRDefault="00834942" w:rsidP="00B01618">
                <w:pPr>
                  <w:pStyle w:val="Caption"/>
                  <w:keepNext/>
                  <w:spacing w:after="0"/>
                  <w:rPr>
                    <w:rFonts w:ascii="Calibri" w:hAnsi="Calibri"/>
                  </w:rPr>
                </w:pPr>
                <w:r w:rsidRPr="00B01618">
                  <w:rPr>
                    <w:rFonts w:ascii="Calibri" w:hAnsi="Calibri"/>
                  </w:rPr>
                  <w:t xml:space="preserve">Figure </w:t>
                </w:r>
                <w:r w:rsidR="00A30372" w:rsidRPr="00B01618">
                  <w:rPr>
                    <w:rFonts w:ascii="Calibri" w:hAnsi="Calibri"/>
                  </w:rPr>
                  <w:fldChar w:fldCharType="begin"/>
                </w:r>
                <w:r w:rsidR="00A30372" w:rsidRPr="00B01618">
                  <w:rPr>
                    <w:rFonts w:ascii="Calibri" w:hAnsi="Calibri"/>
                  </w:rPr>
                  <w:instrText xml:space="preserve"> SEQ Figure \* ARABIC </w:instrText>
                </w:r>
                <w:r w:rsidR="00A30372" w:rsidRPr="00B01618">
                  <w:rPr>
                    <w:rFonts w:ascii="Calibri" w:hAnsi="Calibri"/>
                  </w:rPr>
                  <w:fldChar w:fldCharType="separate"/>
                </w:r>
                <w:r w:rsidRPr="00B01618">
                  <w:rPr>
                    <w:rFonts w:ascii="Calibri" w:hAnsi="Calibri"/>
                    <w:noProof/>
                  </w:rPr>
                  <w:t>1</w:t>
                </w:r>
                <w:r w:rsidR="00A30372" w:rsidRPr="00B01618">
                  <w:rPr>
                    <w:rFonts w:ascii="Calibri" w:hAnsi="Calibri"/>
                    <w:noProof/>
                  </w:rPr>
                  <w:fldChar w:fldCharType="end"/>
                </w:r>
                <w:r w:rsidRPr="00B01618">
                  <w:rPr>
                    <w:rFonts w:ascii="Calibri" w:hAnsi="Calibri"/>
                  </w:rPr>
                  <w:t xml:space="preserve"> </w:t>
                </w:r>
                <w:r w:rsidR="006C6D67" w:rsidRPr="00B01618">
                  <w:rPr>
                    <w:rFonts w:ascii="Calibri" w:hAnsi="Calibri"/>
                  </w:rPr>
                  <w:t xml:space="preserve">Emile </w:t>
                </w:r>
                <w:proofErr w:type="spellStart"/>
                <w:r w:rsidR="006C6D67" w:rsidRPr="00B01618">
                  <w:rPr>
                    <w:rFonts w:ascii="Calibri" w:hAnsi="Calibri"/>
                  </w:rPr>
                  <w:t>Nolde</w:t>
                </w:r>
                <w:proofErr w:type="spellEnd"/>
                <w:r w:rsidR="006C6D67" w:rsidRPr="00B01618">
                  <w:rPr>
                    <w:rFonts w:ascii="Calibri" w:hAnsi="Calibri"/>
                  </w:rPr>
                  <w:t>, Da</w:t>
                </w:r>
                <w:r w:rsidR="006464C7" w:rsidRPr="00B01618">
                  <w:rPr>
                    <w:rFonts w:ascii="Calibri" w:hAnsi="Calibri"/>
                  </w:rPr>
                  <w:t>nce around the Golden Calf, 1910</w:t>
                </w:r>
              </w:p>
              <w:p w14:paraId="2A87E783" w14:textId="4B25987C" w:rsidR="006C6D67" w:rsidRPr="00B01618" w:rsidRDefault="00B01618" w:rsidP="00B01618">
                <w:pPr>
                  <w:rPr>
                    <w:rStyle w:val="Hyperlink"/>
                    <w:rFonts w:ascii="Calibri" w:hAnsi="Calibri" w:cs="Times New Roman"/>
                    <w:sz w:val="24"/>
                    <w:szCs w:val="24"/>
                  </w:rPr>
                </w:pPr>
                <w:r w:rsidRPr="00B01618">
                  <w:rPr>
                    <w:rFonts w:ascii="Calibri" w:hAnsi="Calibri"/>
                  </w:rPr>
                  <w:t xml:space="preserve">Source: </w:t>
                </w:r>
                <w:hyperlink r:id="rId9" w:history="1">
                  <w:r w:rsidR="006C6D67" w:rsidRPr="00B01618">
                    <w:rPr>
                      <w:rStyle w:val="Hyperlink"/>
                      <w:rFonts w:ascii="Calibri" w:hAnsi="Calibri" w:cs="Times New Roman"/>
                    </w:rPr>
                    <w:t>http://www.wikipaintings.org/en/emil-nolde/dance-around-the-golden-calf-1910</w:t>
                  </w:r>
                </w:hyperlink>
                <w:r w:rsidR="006C6D67" w:rsidRPr="00B01618">
                  <w:rPr>
                    <w:rStyle w:val="Hyperlink"/>
                    <w:rFonts w:ascii="Calibri" w:hAnsi="Calibri" w:cs="Times New Roman"/>
                    <w:sz w:val="24"/>
                    <w:szCs w:val="24"/>
                  </w:rPr>
                  <w:t xml:space="preserve"> </w:t>
                </w:r>
              </w:p>
              <w:p w14:paraId="3AC95E30" w14:textId="77777777" w:rsidR="006C6D67" w:rsidRDefault="006C6D67" w:rsidP="006464C7">
                <w:pPr>
                  <w:rPr>
                    <w:rStyle w:val="Hyperlink"/>
                    <w:rFonts w:ascii="Times New Roman" w:hAnsi="Times New Roman" w:cs="Times New Roman"/>
                    <w:sz w:val="24"/>
                    <w:szCs w:val="24"/>
                  </w:rPr>
                </w:pPr>
              </w:p>
              <w:p w14:paraId="7923627B" w14:textId="77777777" w:rsidR="006464C7" w:rsidRPr="00B01618" w:rsidRDefault="006464C7" w:rsidP="00B01618">
                <w:pPr>
                  <w:rPr>
                    <w:rStyle w:val="Hyperlink"/>
                    <w:rFonts w:ascii="Calibri" w:hAnsi="Calibri" w:cs="Times New Roman"/>
                    <w:color w:val="auto"/>
                    <w:u w:val="none"/>
                  </w:rPr>
                </w:pPr>
                <w:r w:rsidRPr="00B01618">
                  <w:rPr>
                    <w:rStyle w:val="Hyperlink"/>
                    <w:rFonts w:ascii="Calibri" w:hAnsi="Calibri" w:cs="Times New Roman"/>
                    <w:color w:val="auto"/>
                    <w:u w:val="none"/>
                  </w:rPr>
                  <w:t>[File: Wigman.jpg]</w:t>
                </w:r>
              </w:p>
              <w:p w14:paraId="7AF5B3DD" w14:textId="77777777" w:rsidR="006464C7" w:rsidRDefault="006464C7" w:rsidP="00B01618">
                <w:pPr>
                  <w:rPr>
                    <w:rStyle w:val="Hyperlink"/>
                    <w:rFonts w:ascii="Times New Roman" w:hAnsi="Times New Roman" w:cs="Times New Roman"/>
                    <w:color w:val="auto"/>
                    <w:sz w:val="24"/>
                    <w:szCs w:val="24"/>
                  </w:rPr>
                </w:pPr>
              </w:p>
              <w:p w14:paraId="3F02153A" w14:textId="11CCB83B" w:rsidR="006464C7" w:rsidRPr="00834942" w:rsidRDefault="00834942" w:rsidP="00B01618">
                <w:pPr>
                  <w:pStyle w:val="Caption"/>
                  <w:keepNext/>
                  <w:spacing w:after="0"/>
                </w:pPr>
                <w:r>
                  <w:lastRenderedPageBreak/>
                  <w:t xml:space="preserve">Figure </w:t>
                </w:r>
                <w:fldSimple w:instr=" SEQ Figure \* ARABIC ">
                  <w:r>
                    <w:rPr>
                      <w:noProof/>
                    </w:rPr>
                    <w:t>2</w:t>
                  </w:r>
                </w:fldSimple>
                <w:r w:rsidR="00B01618">
                  <w:t xml:space="preserve"> Emil </w:t>
                </w:r>
                <w:proofErr w:type="spellStart"/>
                <w:r w:rsidR="00B01618">
                  <w:t>Nolde</w:t>
                </w:r>
                <w:proofErr w:type="spellEnd"/>
                <w:r w:rsidR="00B01618">
                  <w:t xml:space="preserve"> </w:t>
                </w:r>
                <w:r w:rsidR="006C6D67" w:rsidRPr="00834942">
                  <w:t xml:space="preserve">Portrait of Mary </w:t>
                </w:r>
                <w:proofErr w:type="spellStart"/>
                <w:r w:rsidR="006C6D67" w:rsidRPr="00834942">
                  <w:t>Wigman</w:t>
                </w:r>
                <w:proofErr w:type="spellEnd"/>
                <w:r w:rsidR="006C6D67" w:rsidRPr="00834942">
                  <w:t>, c.1920</w:t>
                </w:r>
              </w:p>
              <w:p w14:paraId="53BF7D65" w14:textId="174B79AE" w:rsidR="003F0D73" w:rsidRPr="00D5549D" w:rsidRDefault="00B01618" w:rsidP="00B01618">
                <w:pPr>
                  <w:tabs>
                    <w:tab w:val="left" w:pos="5340"/>
                  </w:tabs>
                </w:pPr>
                <w:r>
                  <w:t xml:space="preserve">Source: </w:t>
                </w:r>
                <w:r w:rsidR="006C6D67" w:rsidRPr="0036499E">
                  <w:rPr>
                    <w:color w:val="0000FF"/>
                    <w:u w:val="single"/>
                  </w:rPr>
                  <w:t>http://www.artic.edu/aic/collections/artwork/150820</w:t>
                </w:r>
              </w:p>
            </w:tc>
          </w:sdtContent>
        </w:sdt>
      </w:tr>
      <w:tr w:rsidR="003235A7" w14:paraId="59735771" w14:textId="77777777" w:rsidTr="003235A7">
        <w:tc>
          <w:tcPr>
            <w:tcW w:w="9016" w:type="dxa"/>
          </w:tcPr>
          <w:p w14:paraId="0121CF6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0AF2D4D8CECA45A01B6B5F217381AD"/>
              </w:placeholder>
            </w:sdtPr>
            <w:sdtContent>
              <w:p w14:paraId="50EFCBA2" w14:textId="77777777" w:rsidR="00F378BC" w:rsidRDefault="00044353" w:rsidP="00F378BC">
                <w:sdt>
                  <w:sdtPr>
                    <w:id w:val="1301497583"/>
                    <w:citation/>
                  </w:sdtPr>
                  <w:sdtContent>
                    <w:r w:rsidR="00F378BC">
                      <w:fldChar w:fldCharType="begin"/>
                    </w:r>
                    <w:r w:rsidR="00F378BC">
                      <w:rPr>
                        <w:lang w:val="en-US"/>
                      </w:rPr>
                      <w:instrText xml:space="preserve"> CITATION How96 \l 1033 </w:instrText>
                    </w:r>
                    <w:r w:rsidR="00F378BC">
                      <w:fldChar w:fldCharType="separate"/>
                    </w:r>
                    <w:r w:rsidR="00F378BC">
                      <w:rPr>
                        <w:noProof/>
                        <w:lang w:val="en-US"/>
                      </w:rPr>
                      <w:t xml:space="preserve"> </w:t>
                    </w:r>
                    <w:r w:rsidR="00F378BC" w:rsidRPr="00F378BC">
                      <w:rPr>
                        <w:noProof/>
                        <w:lang w:val="en-US"/>
                      </w:rPr>
                      <w:t>(Howe)</w:t>
                    </w:r>
                    <w:r w:rsidR="00F378BC">
                      <w:fldChar w:fldCharType="end"/>
                    </w:r>
                  </w:sdtContent>
                </w:sdt>
              </w:p>
              <w:p w14:paraId="2CD98381" w14:textId="77777777" w:rsidR="00F378BC" w:rsidRDefault="00044353" w:rsidP="00F378BC">
                <w:sdt>
                  <w:sdtPr>
                    <w:id w:val="1546945346"/>
                    <w:citation/>
                  </w:sdtPr>
                  <w:sdtContent>
                    <w:r w:rsidR="00F378BC">
                      <w:fldChar w:fldCharType="begin"/>
                    </w:r>
                    <w:r w:rsidR="00F378BC">
                      <w:rPr>
                        <w:lang w:val="en-US"/>
                      </w:rPr>
                      <w:instrText xml:space="preserve"> CITATION Lau96 \l 1033 </w:instrText>
                    </w:r>
                    <w:r w:rsidR="00F378BC">
                      <w:fldChar w:fldCharType="separate"/>
                    </w:r>
                    <w:r w:rsidR="00F378BC" w:rsidRPr="00F378BC">
                      <w:rPr>
                        <w:noProof/>
                        <w:lang w:val="en-US"/>
                      </w:rPr>
                      <w:t>(Launay)</w:t>
                    </w:r>
                    <w:r w:rsidR="00F378BC">
                      <w:fldChar w:fldCharType="end"/>
                    </w:r>
                  </w:sdtContent>
                </w:sdt>
              </w:p>
              <w:p w14:paraId="0713330E" w14:textId="77777777" w:rsidR="00F378BC" w:rsidRDefault="00044353" w:rsidP="00F378BC">
                <w:sdt>
                  <w:sdtPr>
                    <w:id w:val="-1197458991"/>
                    <w:citation/>
                  </w:sdtPr>
                  <w:sdtContent>
                    <w:r w:rsidR="00F378BC">
                      <w:fldChar w:fldCharType="begin"/>
                    </w:r>
                    <w:r w:rsidR="00F378BC">
                      <w:rPr>
                        <w:lang w:val="en-US"/>
                      </w:rPr>
                      <w:instrText xml:space="preserve"> CITATION Dan11 \l 1033 </w:instrText>
                    </w:r>
                    <w:r w:rsidR="00F378BC">
                      <w:fldChar w:fldCharType="separate"/>
                    </w:r>
                    <w:r w:rsidR="00F378BC" w:rsidRPr="00F378BC">
                      <w:rPr>
                        <w:noProof/>
                        <w:lang w:val="en-US"/>
                      </w:rPr>
                      <w:t>(Macel and Lavigne)</w:t>
                    </w:r>
                    <w:r w:rsidR="00F378BC">
                      <w:fldChar w:fldCharType="end"/>
                    </w:r>
                  </w:sdtContent>
                </w:sdt>
                <w:bookmarkStart w:id="0" w:name="_GoBack"/>
                <w:bookmarkEnd w:id="0"/>
              </w:p>
              <w:p w14:paraId="61EF5ED0" w14:textId="77777777" w:rsidR="00F378BC" w:rsidRDefault="00044353" w:rsidP="00F378BC">
                <w:sdt>
                  <w:sdtPr>
                    <w:id w:val="2022510071"/>
                    <w:citation/>
                  </w:sdtPr>
                  <w:sdtContent>
                    <w:r w:rsidR="00F378BC">
                      <w:fldChar w:fldCharType="begin"/>
                    </w:r>
                    <w:r w:rsidR="00F378BC">
                      <w:rPr>
                        <w:lang w:val="en-US"/>
                      </w:rPr>
                      <w:instrText xml:space="preserve"> CITATION Man06 \l 1033 </w:instrText>
                    </w:r>
                    <w:r w:rsidR="00F378BC">
                      <w:fldChar w:fldCharType="separate"/>
                    </w:r>
                    <w:r w:rsidR="00F378BC" w:rsidRPr="00F378BC">
                      <w:rPr>
                        <w:noProof/>
                        <w:lang w:val="en-US"/>
                      </w:rPr>
                      <w:t>(Manning)</w:t>
                    </w:r>
                    <w:r w:rsidR="00F378BC">
                      <w:fldChar w:fldCharType="end"/>
                    </w:r>
                  </w:sdtContent>
                </w:sdt>
              </w:p>
              <w:p w14:paraId="7499707A" w14:textId="77777777" w:rsidR="00F378BC" w:rsidRDefault="00044353" w:rsidP="00F378BC">
                <w:sdt>
                  <w:sdtPr>
                    <w:id w:val="-2144575083"/>
                    <w:citation/>
                  </w:sdtPr>
                  <w:sdtContent>
                    <w:r w:rsidR="00F378BC">
                      <w:fldChar w:fldCharType="begin"/>
                    </w:r>
                    <w:r w:rsidR="00F378BC">
                      <w:rPr>
                        <w:lang w:val="en-US"/>
                      </w:rPr>
                      <w:instrText xml:space="preserve"> CITATION Mar26 \l 1033 </w:instrText>
                    </w:r>
                    <w:r w:rsidR="00F378BC">
                      <w:fldChar w:fldCharType="separate"/>
                    </w:r>
                    <w:r w:rsidR="00F378BC" w:rsidRPr="00F378BC">
                      <w:rPr>
                        <w:noProof/>
                        <w:lang w:val="en-US"/>
                      </w:rPr>
                      <w:t>(MoMA)</w:t>
                    </w:r>
                    <w:r w:rsidR="00F378BC">
                      <w:fldChar w:fldCharType="end"/>
                    </w:r>
                  </w:sdtContent>
                </w:sdt>
              </w:p>
              <w:p w14:paraId="0B212630" w14:textId="77777777" w:rsidR="00F378BC" w:rsidRDefault="00044353" w:rsidP="00F378BC">
                <w:sdt>
                  <w:sdtPr>
                    <w:id w:val="149183563"/>
                    <w:citation/>
                  </w:sdtPr>
                  <w:sdtContent>
                    <w:r w:rsidR="00F378BC">
                      <w:fldChar w:fldCharType="begin"/>
                    </w:r>
                    <w:r w:rsidR="00F378BC">
                      <w:rPr>
                        <w:lang w:val="en-US"/>
                      </w:rPr>
                      <w:instrText xml:space="preserve"> CITATION MoM15 \l 1033 </w:instrText>
                    </w:r>
                    <w:r w:rsidR="00F378BC">
                      <w:fldChar w:fldCharType="separate"/>
                    </w:r>
                    <w:r w:rsidR="00F378BC" w:rsidRPr="00F378BC">
                      <w:rPr>
                        <w:noProof/>
                        <w:lang w:val="en-US"/>
                      </w:rPr>
                      <w:t>(MoMA)</w:t>
                    </w:r>
                    <w:r w:rsidR="00F378BC">
                      <w:fldChar w:fldCharType="end"/>
                    </w:r>
                  </w:sdtContent>
                </w:sdt>
              </w:p>
              <w:p w14:paraId="7E706CA7" w14:textId="77777777" w:rsidR="00F378BC" w:rsidRDefault="00044353" w:rsidP="00F378BC">
                <w:sdt>
                  <w:sdtPr>
                    <w:id w:val="680243193"/>
                    <w:citation/>
                  </w:sdtPr>
                  <w:sdtContent>
                    <w:r w:rsidR="00F378BC">
                      <w:fldChar w:fldCharType="begin"/>
                    </w:r>
                    <w:r w:rsidR="00F378BC">
                      <w:rPr>
                        <w:lang w:val="en-US"/>
                      </w:rPr>
                      <w:instrText xml:space="preserve"> CITATION Pae12 \l 1033 </w:instrText>
                    </w:r>
                    <w:r w:rsidR="00F378BC">
                      <w:fldChar w:fldCharType="separate"/>
                    </w:r>
                    <w:r w:rsidR="00F378BC" w:rsidRPr="00F378BC">
                      <w:rPr>
                        <w:noProof/>
                        <w:lang w:val="en-US"/>
                      </w:rPr>
                      <w:t>(Paenhuysen and Muller)</w:t>
                    </w:r>
                    <w:r w:rsidR="00F378BC">
                      <w:fldChar w:fldCharType="end"/>
                    </w:r>
                  </w:sdtContent>
                </w:sdt>
              </w:p>
              <w:p w14:paraId="06058F17" w14:textId="77777777" w:rsidR="00F378BC" w:rsidRDefault="00044353" w:rsidP="00F378BC">
                <w:sdt>
                  <w:sdtPr>
                    <w:id w:val="505399044"/>
                    <w:citation/>
                  </w:sdtPr>
                  <w:sdtContent>
                    <w:r w:rsidR="00F378BC">
                      <w:fldChar w:fldCharType="begin"/>
                    </w:r>
                    <w:r w:rsidR="00F378BC">
                      <w:rPr>
                        <w:lang w:val="en-US"/>
                      </w:rPr>
                      <w:instrText xml:space="preserve"> CITATION Par03 \l 1033 </w:instrText>
                    </w:r>
                    <w:r w:rsidR="00F378BC">
                      <w:fldChar w:fldCharType="separate"/>
                    </w:r>
                    <w:r w:rsidR="00F378BC" w:rsidRPr="00F378BC">
                      <w:rPr>
                        <w:noProof/>
                        <w:lang w:val="en-US"/>
                      </w:rPr>
                      <w:t>(Partsch-Bergsohn and Bergsohn)</w:t>
                    </w:r>
                    <w:r w:rsidR="00F378BC">
                      <w:fldChar w:fldCharType="end"/>
                    </w:r>
                  </w:sdtContent>
                </w:sdt>
              </w:p>
              <w:p w14:paraId="7DFDAC90" w14:textId="77777777" w:rsidR="00F378BC" w:rsidRDefault="00044353" w:rsidP="00F378BC">
                <w:sdt>
                  <w:sdtPr>
                    <w:id w:val="-1778170341"/>
                    <w:citation/>
                  </w:sdtPr>
                  <w:sdtContent>
                    <w:r w:rsidR="00F378BC">
                      <w:fldChar w:fldCharType="begin"/>
                    </w:r>
                    <w:r w:rsidR="00F378BC">
                      <w:rPr>
                        <w:lang w:val="en-US"/>
                      </w:rPr>
                      <w:instrText xml:space="preserve"> CITATION Pre98 \l 1033 </w:instrText>
                    </w:r>
                    <w:r w:rsidR="00F378BC">
                      <w:fldChar w:fldCharType="separate"/>
                    </w:r>
                    <w:r w:rsidR="00F378BC" w:rsidRPr="00F378BC">
                      <w:rPr>
                        <w:noProof/>
                        <w:lang w:val="en-US"/>
                      </w:rPr>
                      <w:t>(Preston-Dunlop)</w:t>
                    </w:r>
                    <w:r w:rsidR="00F378BC">
                      <w:fldChar w:fldCharType="end"/>
                    </w:r>
                  </w:sdtContent>
                </w:sdt>
              </w:p>
              <w:p w14:paraId="091DDB51" w14:textId="616F77A0" w:rsidR="003235A7" w:rsidRDefault="00044353" w:rsidP="00F378BC">
                <w:sdt>
                  <w:sdtPr>
                    <w:id w:val="-523939145"/>
                    <w:citation/>
                  </w:sdtPr>
                  <w:sdtContent>
                    <w:r w:rsidR="00F378BC">
                      <w:fldChar w:fldCharType="begin"/>
                    </w:r>
                    <w:r w:rsidR="00F378BC">
                      <w:rPr>
                        <w:lang w:val="en-US"/>
                      </w:rPr>
                      <w:instrText xml:space="preserve"> CITATION Sny91 \l 1033 </w:instrText>
                    </w:r>
                    <w:r w:rsidR="00F378BC">
                      <w:fldChar w:fldCharType="separate"/>
                    </w:r>
                    <w:r w:rsidR="00F378BC" w:rsidRPr="00F378BC">
                      <w:rPr>
                        <w:noProof/>
                        <w:lang w:val="en-US"/>
                      </w:rPr>
                      <w:t>(Snyder)</w:t>
                    </w:r>
                    <w:r w:rsidR="00F378BC">
                      <w:fldChar w:fldCharType="end"/>
                    </w:r>
                  </w:sdtContent>
                </w:sdt>
              </w:p>
            </w:sdtContent>
          </w:sdt>
        </w:tc>
      </w:tr>
    </w:tbl>
    <w:p w14:paraId="38EE650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357D1" w14:textId="77777777" w:rsidR="00044353" w:rsidRDefault="00044353" w:rsidP="007A0D55">
      <w:pPr>
        <w:spacing w:after="0" w:line="240" w:lineRule="auto"/>
      </w:pPr>
      <w:r>
        <w:separator/>
      </w:r>
    </w:p>
  </w:endnote>
  <w:endnote w:type="continuationSeparator" w:id="0">
    <w:p w14:paraId="154F137F" w14:textId="77777777" w:rsidR="00044353" w:rsidRDefault="000443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78189" w14:textId="77777777" w:rsidR="00044353" w:rsidRDefault="00044353" w:rsidP="007A0D55">
      <w:pPr>
        <w:spacing w:after="0" w:line="240" w:lineRule="auto"/>
      </w:pPr>
      <w:r>
        <w:separator/>
      </w:r>
    </w:p>
  </w:footnote>
  <w:footnote w:type="continuationSeparator" w:id="0">
    <w:p w14:paraId="600D5F24" w14:textId="77777777" w:rsidR="00044353" w:rsidRDefault="00044353" w:rsidP="007A0D55">
      <w:pPr>
        <w:spacing w:after="0" w:line="240" w:lineRule="auto"/>
      </w:pPr>
      <w:r>
        <w:continuationSeparator/>
      </w:r>
    </w:p>
  </w:footnote>
  <w:footnote w:id="1">
    <w:p w14:paraId="6C6BC85B" w14:textId="77777777" w:rsidR="00044353" w:rsidRPr="006A0DD8" w:rsidRDefault="00044353" w:rsidP="00F378B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Not until the years after the First World War did the term </w:t>
      </w:r>
      <w:proofErr w:type="spellStart"/>
      <w:r w:rsidRPr="006A0DD8">
        <w:rPr>
          <w:rFonts w:ascii="Times New Roman" w:hAnsi="Times New Roman" w:cs="Times New Roman"/>
          <w:i/>
        </w:rPr>
        <w:t>Ausdruckstanz</w:t>
      </w:r>
      <w:proofErr w:type="spellEnd"/>
      <w:r>
        <w:rPr>
          <w:rFonts w:ascii="Times New Roman" w:hAnsi="Times New Roman" w:cs="Times New Roman"/>
        </w:rPr>
        <w:t xml:space="preserve"> (dance of expression) come into common usage to designate the German modern-dance movement between the two world wars. </w:t>
      </w:r>
    </w:p>
  </w:footnote>
  <w:footnote w:id="2">
    <w:p w14:paraId="20455A0F" w14:textId="77777777" w:rsidR="00044353" w:rsidRPr="006A0DD8" w:rsidRDefault="00044353" w:rsidP="005940D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Not until the years after the First World War did the term </w:t>
      </w:r>
      <w:proofErr w:type="spellStart"/>
      <w:r w:rsidRPr="006A0DD8">
        <w:rPr>
          <w:rFonts w:ascii="Times New Roman" w:hAnsi="Times New Roman" w:cs="Times New Roman"/>
          <w:i/>
        </w:rPr>
        <w:t>Ausdruckstanz</w:t>
      </w:r>
      <w:proofErr w:type="spellEnd"/>
      <w:r>
        <w:rPr>
          <w:rFonts w:ascii="Times New Roman" w:hAnsi="Times New Roman" w:cs="Times New Roman"/>
        </w:rPr>
        <w:t xml:space="preserve"> (dance of expression)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CF45" w14:textId="77777777" w:rsidR="00044353" w:rsidRDefault="000443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25792F" w14:textId="77777777" w:rsidR="00044353" w:rsidRDefault="000443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9D"/>
    <w:rsid w:val="00032559"/>
    <w:rsid w:val="00044353"/>
    <w:rsid w:val="00052040"/>
    <w:rsid w:val="000B25AE"/>
    <w:rsid w:val="000B55AB"/>
    <w:rsid w:val="000D24DC"/>
    <w:rsid w:val="00101B2E"/>
    <w:rsid w:val="00116FA0"/>
    <w:rsid w:val="0015114C"/>
    <w:rsid w:val="001A21F3"/>
    <w:rsid w:val="001A2537"/>
    <w:rsid w:val="001A6A06"/>
    <w:rsid w:val="001F41A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660"/>
    <w:rsid w:val="004E5896"/>
    <w:rsid w:val="00513EE6"/>
    <w:rsid w:val="00534F8F"/>
    <w:rsid w:val="0053696E"/>
    <w:rsid w:val="00590035"/>
    <w:rsid w:val="005940D6"/>
    <w:rsid w:val="005B177E"/>
    <w:rsid w:val="005B3921"/>
    <w:rsid w:val="005F26D7"/>
    <w:rsid w:val="005F5450"/>
    <w:rsid w:val="006464C7"/>
    <w:rsid w:val="006C6D67"/>
    <w:rsid w:val="006D0412"/>
    <w:rsid w:val="007411B9"/>
    <w:rsid w:val="00777C59"/>
    <w:rsid w:val="00780D95"/>
    <w:rsid w:val="00780DC7"/>
    <w:rsid w:val="007A0D55"/>
    <w:rsid w:val="007A44F8"/>
    <w:rsid w:val="007B3377"/>
    <w:rsid w:val="007E5F44"/>
    <w:rsid w:val="00821DE3"/>
    <w:rsid w:val="00834942"/>
    <w:rsid w:val="00846CE1"/>
    <w:rsid w:val="008A5B87"/>
    <w:rsid w:val="00922950"/>
    <w:rsid w:val="009A7264"/>
    <w:rsid w:val="009D1606"/>
    <w:rsid w:val="009E18A1"/>
    <w:rsid w:val="009E73D7"/>
    <w:rsid w:val="00A27D2C"/>
    <w:rsid w:val="00A30372"/>
    <w:rsid w:val="00A76FD9"/>
    <w:rsid w:val="00AB436D"/>
    <w:rsid w:val="00AD2F24"/>
    <w:rsid w:val="00AD4844"/>
    <w:rsid w:val="00B01618"/>
    <w:rsid w:val="00B219AE"/>
    <w:rsid w:val="00B33145"/>
    <w:rsid w:val="00B574C9"/>
    <w:rsid w:val="00BC0E47"/>
    <w:rsid w:val="00BC39C9"/>
    <w:rsid w:val="00BE5BF7"/>
    <w:rsid w:val="00BF40E1"/>
    <w:rsid w:val="00C27FAB"/>
    <w:rsid w:val="00C358D4"/>
    <w:rsid w:val="00C6296B"/>
    <w:rsid w:val="00CC586D"/>
    <w:rsid w:val="00CF1542"/>
    <w:rsid w:val="00CF3EC5"/>
    <w:rsid w:val="00D5549D"/>
    <w:rsid w:val="00D656DA"/>
    <w:rsid w:val="00D83300"/>
    <w:rsid w:val="00DC6B48"/>
    <w:rsid w:val="00DF01B0"/>
    <w:rsid w:val="00E85A05"/>
    <w:rsid w:val="00E95829"/>
    <w:rsid w:val="00EA606C"/>
    <w:rsid w:val="00EB0C8C"/>
    <w:rsid w:val="00EB51FD"/>
    <w:rsid w:val="00EB77DB"/>
    <w:rsid w:val="00ED139F"/>
    <w:rsid w:val="00EF74F7"/>
    <w:rsid w:val="00F36937"/>
    <w:rsid w:val="00F378BC"/>
    <w:rsid w:val="00F60F53"/>
    <w:rsid w:val="00F61886"/>
    <w:rsid w:val="00FA1925"/>
    <w:rsid w:val="00FB11DE"/>
    <w:rsid w:val="00FB589A"/>
    <w:rsid w:val="00FB7317"/>
    <w:rsid w:val="00FB78F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A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54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49D"/>
    <w:rPr>
      <w:rFonts w:ascii="Lucida Grande" w:hAnsi="Lucida Grande"/>
      <w:sz w:val="18"/>
      <w:szCs w:val="18"/>
    </w:rPr>
  </w:style>
  <w:style w:type="paragraph" w:styleId="FootnoteText">
    <w:name w:val="footnote text"/>
    <w:basedOn w:val="Normal"/>
    <w:link w:val="FootnoteTextChar"/>
    <w:uiPriority w:val="99"/>
    <w:unhideWhenUsed/>
    <w:rsid w:val="00D554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5549D"/>
    <w:rPr>
      <w:sz w:val="24"/>
      <w:szCs w:val="24"/>
      <w:lang w:val="en-US"/>
    </w:rPr>
  </w:style>
  <w:style w:type="character" w:styleId="FootnoteReference">
    <w:name w:val="footnote reference"/>
    <w:basedOn w:val="DefaultParagraphFont"/>
    <w:uiPriority w:val="99"/>
    <w:unhideWhenUsed/>
    <w:rsid w:val="00D5549D"/>
    <w:rPr>
      <w:vertAlign w:val="superscript"/>
    </w:rPr>
  </w:style>
  <w:style w:type="character" w:styleId="Hyperlink">
    <w:name w:val="Hyperlink"/>
    <w:basedOn w:val="DefaultParagraphFont"/>
    <w:uiPriority w:val="99"/>
    <w:unhideWhenUsed/>
    <w:rsid w:val="006C6D67"/>
    <w:rPr>
      <w:color w:val="0563C1" w:themeColor="hyperlink"/>
      <w:u w:val="single"/>
    </w:rPr>
  </w:style>
  <w:style w:type="character" w:styleId="FollowedHyperlink">
    <w:name w:val="FollowedHyperlink"/>
    <w:basedOn w:val="DefaultParagraphFont"/>
    <w:uiPriority w:val="99"/>
    <w:semiHidden/>
    <w:rsid w:val="006C6D67"/>
    <w:rPr>
      <w:color w:val="954F72" w:themeColor="followedHyperlink"/>
      <w:u w:val="single"/>
    </w:rPr>
  </w:style>
  <w:style w:type="paragraph" w:styleId="Caption">
    <w:name w:val="caption"/>
    <w:basedOn w:val="Normal"/>
    <w:next w:val="Normal"/>
    <w:uiPriority w:val="35"/>
    <w:semiHidden/>
    <w:qFormat/>
    <w:rsid w:val="0083494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54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49D"/>
    <w:rPr>
      <w:rFonts w:ascii="Lucida Grande" w:hAnsi="Lucida Grande"/>
      <w:sz w:val="18"/>
      <w:szCs w:val="18"/>
    </w:rPr>
  </w:style>
  <w:style w:type="paragraph" w:styleId="FootnoteText">
    <w:name w:val="footnote text"/>
    <w:basedOn w:val="Normal"/>
    <w:link w:val="FootnoteTextChar"/>
    <w:uiPriority w:val="99"/>
    <w:unhideWhenUsed/>
    <w:rsid w:val="00D554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5549D"/>
    <w:rPr>
      <w:sz w:val="24"/>
      <w:szCs w:val="24"/>
      <w:lang w:val="en-US"/>
    </w:rPr>
  </w:style>
  <w:style w:type="character" w:styleId="FootnoteReference">
    <w:name w:val="footnote reference"/>
    <w:basedOn w:val="DefaultParagraphFont"/>
    <w:uiPriority w:val="99"/>
    <w:unhideWhenUsed/>
    <w:rsid w:val="00D5549D"/>
    <w:rPr>
      <w:vertAlign w:val="superscript"/>
    </w:rPr>
  </w:style>
  <w:style w:type="character" w:styleId="Hyperlink">
    <w:name w:val="Hyperlink"/>
    <w:basedOn w:val="DefaultParagraphFont"/>
    <w:uiPriority w:val="99"/>
    <w:unhideWhenUsed/>
    <w:rsid w:val="006C6D67"/>
    <w:rPr>
      <w:color w:val="0563C1" w:themeColor="hyperlink"/>
      <w:u w:val="single"/>
    </w:rPr>
  </w:style>
  <w:style w:type="character" w:styleId="FollowedHyperlink">
    <w:name w:val="FollowedHyperlink"/>
    <w:basedOn w:val="DefaultParagraphFont"/>
    <w:uiPriority w:val="99"/>
    <w:semiHidden/>
    <w:rsid w:val="006C6D67"/>
    <w:rPr>
      <w:color w:val="954F72" w:themeColor="followedHyperlink"/>
      <w:u w:val="single"/>
    </w:rPr>
  </w:style>
  <w:style w:type="paragraph" w:styleId="Caption">
    <w:name w:val="caption"/>
    <w:basedOn w:val="Normal"/>
    <w:next w:val="Normal"/>
    <w:uiPriority w:val="35"/>
    <w:semiHidden/>
    <w:qFormat/>
    <w:rsid w:val="0083494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kipaintings.org/en/emil-nolde/dance-around-the-golden-calf-191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5EAF0862D684493942AF8E98074ED"/>
        <w:category>
          <w:name w:val="General"/>
          <w:gallery w:val="placeholder"/>
        </w:category>
        <w:types>
          <w:type w:val="bbPlcHdr"/>
        </w:types>
        <w:behaviors>
          <w:behavior w:val="content"/>
        </w:behaviors>
        <w:guid w:val="{41332BA8-DBBF-DC47-8710-D1D212685A7A}"/>
      </w:docPartPr>
      <w:docPartBody>
        <w:p w:rsidR="00557421" w:rsidRDefault="00557421">
          <w:pPr>
            <w:pStyle w:val="D7F5EAF0862D684493942AF8E98074ED"/>
          </w:pPr>
          <w:r w:rsidRPr="00CC586D">
            <w:rPr>
              <w:rStyle w:val="PlaceholderText"/>
              <w:b/>
              <w:color w:val="FFFFFF" w:themeColor="background1"/>
            </w:rPr>
            <w:t>[Salutation]</w:t>
          </w:r>
        </w:p>
      </w:docPartBody>
    </w:docPart>
    <w:docPart>
      <w:docPartPr>
        <w:name w:val="886ADA4FA4C6B44597B0D53557D12D1C"/>
        <w:category>
          <w:name w:val="General"/>
          <w:gallery w:val="placeholder"/>
        </w:category>
        <w:types>
          <w:type w:val="bbPlcHdr"/>
        </w:types>
        <w:behaviors>
          <w:behavior w:val="content"/>
        </w:behaviors>
        <w:guid w:val="{214E9B6A-10F0-B64A-84A7-C34C09E5884D}"/>
      </w:docPartPr>
      <w:docPartBody>
        <w:p w:rsidR="00557421" w:rsidRDefault="00557421">
          <w:pPr>
            <w:pStyle w:val="886ADA4FA4C6B44597B0D53557D12D1C"/>
          </w:pPr>
          <w:r>
            <w:rPr>
              <w:rStyle w:val="PlaceholderText"/>
            </w:rPr>
            <w:t>[First name]</w:t>
          </w:r>
        </w:p>
      </w:docPartBody>
    </w:docPart>
    <w:docPart>
      <w:docPartPr>
        <w:name w:val="DFC6389A63B4BF41ACE094C2D092D381"/>
        <w:category>
          <w:name w:val="General"/>
          <w:gallery w:val="placeholder"/>
        </w:category>
        <w:types>
          <w:type w:val="bbPlcHdr"/>
        </w:types>
        <w:behaviors>
          <w:behavior w:val="content"/>
        </w:behaviors>
        <w:guid w:val="{C980584E-9874-A646-B26B-E0D4D6357FBD}"/>
      </w:docPartPr>
      <w:docPartBody>
        <w:p w:rsidR="00557421" w:rsidRDefault="00557421">
          <w:pPr>
            <w:pStyle w:val="DFC6389A63B4BF41ACE094C2D092D381"/>
          </w:pPr>
          <w:r>
            <w:rPr>
              <w:rStyle w:val="PlaceholderText"/>
            </w:rPr>
            <w:t>[Middle name]</w:t>
          </w:r>
        </w:p>
      </w:docPartBody>
    </w:docPart>
    <w:docPart>
      <w:docPartPr>
        <w:name w:val="CE35CE2A0D5EAA4EA3493D1575E343B2"/>
        <w:category>
          <w:name w:val="General"/>
          <w:gallery w:val="placeholder"/>
        </w:category>
        <w:types>
          <w:type w:val="bbPlcHdr"/>
        </w:types>
        <w:behaviors>
          <w:behavior w:val="content"/>
        </w:behaviors>
        <w:guid w:val="{9F952FBC-1A0F-E545-97F7-C569CB891608}"/>
      </w:docPartPr>
      <w:docPartBody>
        <w:p w:rsidR="00557421" w:rsidRDefault="00557421">
          <w:pPr>
            <w:pStyle w:val="CE35CE2A0D5EAA4EA3493D1575E343B2"/>
          </w:pPr>
          <w:r>
            <w:rPr>
              <w:rStyle w:val="PlaceholderText"/>
            </w:rPr>
            <w:t>[Last name]</w:t>
          </w:r>
        </w:p>
      </w:docPartBody>
    </w:docPart>
    <w:docPart>
      <w:docPartPr>
        <w:name w:val="EB00721BD824B74AA73E23001DF5FB70"/>
        <w:category>
          <w:name w:val="General"/>
          <w:gallery w:val="placeholder"/>
        </w:category>
        <w:types>
          <w:type w:val="bbPlcHdr"/>
        </w:types>
        <w:behaviors>
          <w:behavior w:val="content"/>
        </w:behaviors>
        <w:guid w:val="{ECAFF941-2194-F940-B0A1-806842119A64}"/>
      </w:docPartPr>
      <w:docPartBody>
        <w:p w:rsidR="00557421" w:rsidRDefault="00557421">
          <w:pPr>
            <w:pStyle w:val="EB00721BD824B74AA73E23001DF5FB70"/>
          </w:pPr>
          <w:r>
            <w:rPr>
              <w:rStyle w:val="PlaceholderText"/>
            </w:rPr>
            <w:t>[Enter your biography]</w:t>
          </w:r>
        </w:p>
      </w:docPartBody>
    </w:docPart>
    <w:docPart>
      <w:docPartPr>
        <w:name w:val="5CBA3F303655E54EB2E39F5C627FEFAA"/>
        <w:category>
          <w:name w:val="General"/>
          <w:gallery w:val="placeholder"/>
        </w:category>
        <w:types>
          <w:type w:val="bbPlcHdr"/>
        </w:types>
        <w:behaviors>
          <w:behavior w:val="content"/>
        </w:behaviors>
        <w:guid w:val="{A3E13DB4-ADF8-B945-AE2E-498D3705B06C}"/>
      </w:docPartPr>
      <w:docPartBody>
        <w:p w:rsidR="00557421" w:rsidRDefault="00557421">
          <w:pPr>
            <w:pStyle w:val="5CBA3F303655E54EB2E39F5C627FEFAA"/>
          </w:pPr>
          <w:r>
            <w:rPr>
              <w:rStyle w:val="PlaceholderText"/>
            </w:rPr>
            <w:t>[Enter the institution with which you are affiliated]</w:t>
          </w:r>
        </w:p>
      </w:docPartBody>
    </w:docPart>
    <w:docPart>
      <w:docPartPr>
        <w:name w:val="62F86F174F6E78458F54C0566ED50C7A"/>
        <w:category>
          <w:name w:val="General"/>
          <w:gallery w:val="placeholder"/>
        </w:category>
        <w:types>
          <w:type w:val="bbPlcHdr"/>
        </w:types>
        <w:behaviors>
          <w:behavior w:val="content"/>
        </w:behaviors>
        <w:guid w:val="{9E5DDA26-DA56-624C-8BF2-B3D0CA66F28F}"/>
      </w:docPartPr>
      <w:docPartBody>
        <w:p w:rsidR="00557421" w:rsidRDefault="00557421">
          <w:pPr>
            <w:pStyle w:val="62F86F174F6E78458F54C0566ED50C7A"/>
          </w:pPr>
          <w:r w:rsidRPr="00EF74F7">
            <w:rPr>
              <w:b/>
              <w:color w:val="808080" w:themeColor="background1" w:themeShade="80"/>
            </w:rPr>
            <w:t>[Enter the headword for your article]</w:t>
          </w:r>
        </w:p>
      </w:docPartBody>
    </w:docPart>
    <w:docPart>
      <w:docPartPr>
        <w:name w:val="075522A429DF694D8023102D4646E6FA"/>
        <w:category>
          <w:name w:val="General"/>
          <w:gallery w:val="placeholder"/>
        </w:category>
        <w:types>
          <w:type w:val="bbPlcHdr"/>
        </w:types>
        <w:behaviors>
          <w:behavior w:val="content"/>
        </w:behaviors>
        <w:guid w:val="{FD0FE9D0-07DD-0241-98C2-4A96AAE71327}"/>
      </w:docPartPr>
      <w:docPartBody>
        <w:p w:rsidR="00557421" w:rsidRDefault="00557421">
          <w:pPr>
            <w:pStyle w:val="075522A429DF694D8023102D4646E6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DB9D8B9EE08E42AB54433569354405"/>
        <w:category>
          <w:name w:val="General"/>
          <w:gallery w:val="placeholder"/>
        </w:category>
        <w:types>
          <w:type w:val="bbPlcHdr"/>
        </w:types>
        <w:behaviors>
          <w:behavior w:val="content"/>
        </w:behaviors>
        <w:guid w:val="{73BC98C7-1391-6743-89B5-C3EADB71F01A}"/>
      </w:docPartPr>
      <w:docPartBody>
        <w:p w:rsidR="00557421" w:rsidRDefault="00557421">
          <w:pPr>
            <w:pStyle w:val="A7DB9D8B9EE08E42AB544335693544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294589714C16439D9B3BE9BA4CD57E"/>
        <w:category>
          <w:name w:val="General"/>
          <w:gallery w:val="placeholder"/>
        </w:category>
        <w:types>
          <w:type w:val="bbPlcHdr"/>
        </w:types>
        <w:behaviors>
          <w:behavior w:val="content"/>
        </w:behaviors>
        <w:guid w:val="{51110A1A-7B0A-054D-9E5B-A725E8569D2D}"/>
      </w:docPartPr>
      <w:docPartBody>
        <w:p w:rsidR="00557421" w:rsidRDefault="00557421">
          <w:pPr>
            <w:pStyle w:val="EF294589714C16439D9B3BE9BA4CD5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0AF2D4D8CECA45A01B6B5F217381AD"/>
        <w:category>
          <w:name w:val="General"/>
          <w:gallery w:val="placeholder"/>
        </w:category>
        <w:types>
          <w:type w:val="bbPlcHdr"/>
        </w:types>
        <w:behaviors>
          <w:behavior w:val="content"/>
        </w:behaviors>
        <w:guid w:val="{8C4CB3EA-47F2-8E45-BD64-F7B1C173AACB}"/>
      </w:docPartPr>
      <w:docPartBody>
        <w:p w:rsidR="00557421" w:rsidRDefault="00557421">
          <w:pPr>
            <w:pStyle w:val="090AF2D4D8CECA45A01B6B5F217381AD"/>
          </w:pPr>
          <w:r>
            <w:rPr>
              <w:rStyle w:val="PlaceholderText"/>
            </w:rPr>
            <w:t>[Enter citations for further reading here]</w:t>
          </w:r>
        </w:p>
      </w:docPartBody>
    </w:docPart>
    <w:docPart>
      <w:docPartPr>
        <w:name w:val="4B3E9E8A5E1B78439B7DFFAA03297147"/>
        <w:category>
          <w:name w:val="General"/>
          <w:gallery w:val="placeholder"/>
        </w:category>
        <w:types>
          <w:type w:val="bbPlcHdr"/>
        </w:types>
        <w:behaviors>
          <w:behavior w:val="content"/>
        </w:behaviors>
        <w:guid w:val="{2CC8EDEC-E2D6-B042-B067-FEB04C7B3E92}"/>
      </w:docPartPr>
      <w:docPartBody>
        <w:p w:rsidR="00227C7B" w:rsidRDefault="00227C7B" w:rsidP="00227C7B">
          <w:pPr>
            <w:pStyle w:val="4B3E9E8A5E1B78439B7DFFAA0329714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21"/>
    <w:rsid w:val="00103F62"/>
    <w:rsid w:val="00227C7B"/>
    <w:rsid w:val="00557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C7B"/>
    <w:rPr>
      <w:color w:val="808080"/>
    </w:rPr>
  </w:style>
  <w:style w:type="paragraph" w:customStyle="1" w:styleId="D7F5EAF0862D684493942AF8E98074ED">
    <w:name w:val="D7F5EAF0862D684493942AF8E98074ED"/>
  </w:style>
  <w:style w:type="paragraph" w:customStyle="1" w:styleId="886ADA4FA4C6B44597B0D53557D12D1C">
    <w:name w:val="886ADA4FA4C6B44597B0D53557D12D1C"/>
  </w:style>
  <w:style w:type="paragraph" w:customStyle="1" w:styleId="DFC6389A63B4BF41ACE094C2D092D381">
    <w:name w:val="DFC6389A63B4BF41ACE094C2D092D381"/>
  </w:style>
  <w:style w:type="paragraph" w:customStyle="1" w:styleId="CE35CE2A0D5EAA4EA3493D1575E343B2">
    <w:name w:val="CE35CE2A0D5EAA4EA3493D1575E343B2"/>
  </w:style>
  <w:style w:type="paragraph" w:customStyle="1" w:styleId="EB00721BD824B74AA73E23001DF5FB70">
    <w:name w:val="EB00721BD824B74AA73E23001DF5FB70"/>
  </w:style>
  <w:style w:type="paragraph" w:customStyle="1" w:styleId="5CBA3F303655E54EB2E39F5C627FEFAA">
    <w:name w:val="5CBA3F303655E54EB2E39F5C627FEFAA"/>
  </w:style>
  <w:style w:type="paragraph" w:customStyle="1" w:styleId="62F86F174F6E78458F54C0566ED50C7A">
    <w:name w:val="62F86F174F6E78458F54C0566ED50C7A"/>
  </w:style>
  <w:style w:type="paragraph" w:customStyle="1" w:styleId="075522A429DF694D8023102D4646E6FA">
    <w:name w:val="075522A429DF694D8023102D4646E6FA"/>
  </w:style>
  <w:style w:type="paragraph" w:customStyle="1" w:styleId="A7DB9D8B9EE08E42AB54433569354405">
    <w:name w:val="A7DB9D8B9EE08E42AB54433569354405"/>
  </w:style>
  <w:style w:type="paragraph" w:customStyle="1" w:styleId="EF294589714C16439D9B3BE9BA4CD57E">
    <w:name w:val="EF294589714C16439D9B3BE9BA4CD57E"/>
  </w:style>
  <w:style w:type="paragraph" w:customStyle="1" w:styleId="090AF2D4D8CECA45A01B6B5F217381AD">
    <w:name w:val="090AF2D4D8CECA45A01B6B5F217381AD"/>
  </w:style>
  <w:style w:type="paragraph" w:customStyle="1" w:styleId="4B3E9E8A5E1B78439B7DFFAA03297147">
    <w:name w:val="4B3E9E8A5E1B78439B7DFFAA03297147"/>
    <w:rsid w:val="00227C7B"/>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C7B"/>
    <w:rPr>
      <w:color w:val="808080"/>
    </w:rPr>
  </w:style>
  <w:style w:type="paragraph" w:customStyle="1" w:styleId="D7F5EAF0862D684493942AF8E98074ED">
    <w:name w:val="D7F5EAF0862D684493942AF8E98074ED"/>
  </w:style>
  <w:style w:type="paragraph" w:customStyle="1" w:styleId="886ADA4FA4C6B44597B0D53557D12D1C">
    <w:name w:val="886ADA4FA4C6B44597B0D53557D12D1C"/>
  </w:style>
  <w:style w:type="paragraph" w:customStyle="1" w:styleId="DFC6389A63B4BF41ACE094C2D092D381">
    <w:name w:val="DFC6389A63B4BF41ACE094C2D092D381"/>
  </w:style>
  <w:style w:type="paragraph" w:customStyle="1" w:styleId="CE35CE2A0D5EAA4EA3493D1575E343B2">
    <w:name w:val="CE35CE2A0D5EAA4EA3493D1575E343B2"/>
  </w:style>
  <w:style w:type="paragraph" w:customStyle="1" w:styleId="EB00721BD824B74AA73E23001DF5FB70">
    <w:name w:val="EB00721BD824B74AA73E23001DF5FB70"/>
  </w:style>
  <w:style w:type="paragraph" w:customStyle="1" w:styleId="5CBA3F303655E54EB2E39F5C627FEFAA">
    <w:name w:val="5CBA3F303655E54EB2E39F5C627FEFAA"/>
  </w:style>
  <w:style w:type="paragraph" w:customStyle="1" w:styleId="62F86F174F6E78458F54C0566ED50C7A">
    <w:name w:val="62F86F174F6E78458F54C0566ED50C7A"/>
  </w:style>
  <w:style w:type="paragraph" w:customStyle="1" w:styleId="075522A429DF694D8023102D4646E6FA">
    <w:name w:val="075522A429DF694D8023102D4646E6FA"/>
  </w:style>
  <w:style w:type="paragraph" w:customStyle="1" w:styleId="A7DB9D8B9EE08E42AB54433569354405">
    <w:name w:val="A7DB9D8B9EE08E42AB54433569354405"/>
  </w:style>
  <w:style w:type="paragraph" w:customStyle="1" w:styleId="EF294589714C16439D9B3BE9BA4CD57E">
    <w:name w:val="EF294589714C16439D9B3BE9BA4CD57E"/>
  </w:style>
  <w:style w:type="paragraph" w:customStyle="1" w:styleId="090AF2D4D8CECA45A01B6B5F217381AD">
    <w:name w:val="090AF2D4D8CECA45A01B6B5F217381AD"/>
  </w:style>
  <w:style w:type="paragraph" w:customStyle="1" w:styleId="4B3E9E8A5E1B78439B7DFFAA03297147">
    <w:name w:val="4B3E9E8A5E1B78439B7DFFAA03297147"/>
    <w:rsid w:val="00227C7B"/>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b:RefOrder>
  </b:Source>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3</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4</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9</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10</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6</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7</b:RefOrder>
  </b:Source>
</b:Sources>
</file>

<file path=customXml/itemProps1.xml><?xml version="1.0" encoding="utf-8"?>
<ds:datastoreItem xmlns:ds="http://schemas.openxmlformats.org/officeDocument/2006/customXml" ds:itemID="{3A689567-8FD3-3D42-80C1-37C58B87E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4</Pages>
  <Words>1630</Words>
  <Characters>9293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cp:revision>
  <dcterms:created xsi:type="dcterms:W3CDTF">2015-05-26T11:38:00Z</dcterms:created>
  <dcterms:modified xsi:type="dcterms:W3CDTF">2015-05-31T15:04:00Z</dcterms:modified>
</cp:coreProperties>
</file>