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ADF62" w14:textId="77777777" w:rsidR="002E39AA" w:rsidRPr="000B0FA9" w:rsidRDefault="002E39AA" w:rsidP="00357CC8">
      <w:pPr>
        <w:contextualSpacing/>
        <w:rPr>
          <w:b/>
        </w:rPr>
      </w:pPr>
      <w:proofErr w:type="spellStart"/>
      <w:r w:rsidRPr="000B0FA9">
        <w:rPr>
          <w:b/>
        </w:rPr>
        <w:t>Gerrard</w:t>
      </w:r>
      <w:proofErr w:type="spellEnd"/>
      <w:r w:rsidRPr="000B0FA9">
        <w:rPr>
          <w:b/>
        </w:rPr>
        <w:t xml:space="preserve">, </w:t>
      </w:r>
      <w:proofErr w:type="spellStart"/>
      <w:r w:rsidRPr="000B0FA9">
        <w:rPr>
          <w:b/>
        </w:rPr>
        <w:t>Saida</w:t>
      </w:r>
      <w:proofErr w:type="spellEnd"/>
      <w:r w:rsidRPr="000B0FA9">
        <w:rPr>
          <w:b/>
        </w:rPr>
        <w:t xml:space="preserve"> (b. April 9, 1913 Toronto, Ont</w:t>
      </w:r>
      <w:r>
        <w:rPr>
          <w:b/>
        </w:rPr>
        <w:t>ario, Canada; d. March 15, 2005,</w:t>
      </w:r>
      <w:r w:rsidRPr="000B0FA9">
        <w:rPr>
          <w:b/>
        </w:rPr>
        <w:t xml:space="preserve"> Los Angles, California, United States of America)</w:t>
      </w:r>
    </w:p>
    <w:p w14:paraId="36689223" w14:textId="77777777" w:rsidR="00357CC8" w:rsidRDefault="00357CC8" w:rsidP="00357CC8">
      <w:pPr>
        <w:contextualSpacing/>
      </w:pPr>
    </w:p>
    <w:p w14:paraId="64BB12E4" w14:textId="77777777" w:rsidR="00357CC8" w:rsidRPr="00C504CA" w:rsidRDefault="00357CC8" w:rsidP="00357CC8">
      <w:pPr>
        <w:contextualSpacing/>
        <w:rPr>
          <w:b/>
        </w:rPr>
      </w:pPr>
      <w:r>
        <w:rPr>
          <w:b/>
        </w:rPr>
        <w:t>Summary</w:t>
      </w:r>
    </w:p>
    <w:p w14:paraId="7B029B2B" w14:textId="79B619F2" w:rsidR="00357CC8" w:rsidRPr="00E750EE" w:rsidRDefault="00C504CA" w:rsidP="00357CC8">
      <w:pPr>
        <w:contextualSpacing/>
      </w:pPr>
      <w:r>
        <w:t>Toronto-</w:t>
      </w:r>
      <w:r w:rsidR="00357CC8" w:rsidRPr="00E750EE">
        <w:t xml:space="preserve">born </w:t>
      </w:r>
      <w:proofErr w:type="spellStart"/>
      <w:r w:rsidR="00357CC8" w:rsidRPr="00E750EE">
        <w:t>Saida</w:t>
      </w:r>
      <w:proofErr w:type="spellEnd"/>
      <w:r w:rsidR="00357CC8" w:rsidRPr="00E750EE">
        <w:t xml:space="preserve"> </w:t>
      </w:r>
      <w:proofErr w:type="spellStart"/>
      <w:r w:rsidR="00357CC8" w:rsidRPr="00E750EE">
        <w:t>Gerrard</w:t>
      </w:r>
      <w:proofErr w:type="spellEnd"/>
      <w:r w:rsidR="00357CC8" w:rsidRPr="00E750EE">
        <w:t xml:space="preserve"> was one of the first</w:t>
      </w:r>
      <w:r>
        <w:t xml:space="preserve"> artists</w:t>
      </w:r>
      <w:r w:rsidR="00357CC8" w:rsidRPr="00E750EE">
        <w:t xml:space="preserve"> to import modern dance to Canada following study in the U</w:t>
      </w:r>
      <w:r w:rsidR="00357CC8">
        <w:t xml:space="preserve">nited </w:t>
      </w:r>
      <w:r w:rsidR="00357CC8" w:rsidRPr="00E750EE">
        <w:t>S</w:t>
      </w:r>
      <w:r w:rsidR="00357CC8">
        <w:t>tates</w:t>
      </w:r>
      <w:r w:rsidR="00357CC8" w:rsidRPr="00E750EE">
        <w:t xml:space="preserve">. Her early training included character dancing and </w:t>
      </w:r>
      <w:proofErr w:type="spellStart"/>
      <w:r w:rsidR="00357CC8" w:rsidRPr="00E750EE">
        <w:t>Dalcroze</w:t>
      </w:r>
      <w:proofErr w:type="spellEnd"/>
      <w:r w:rsidR="00357CC8" w:rsidRPr="00E750EE">
        <w:t xml:space="preserve"> Eur</w:t>
      </w:r>
      <w:r w:rsidR="00357CC8">
        <w:t>h</w:t>
      </w:r>
      <w:r w:rsidR="00357CC8" w:rsidRPr="00E750EE">
        <w:t>ythmics in Toronto</w:t>
      </w:r>
      <w:r w:rsidR="000B7A9B">
        <w:t>,</w:t>
      </w:r>
      <w:r w:rsidR="00357CC8" w:rsidRPr="00E750EE">
        <w:t xml:space="preserve"> and in 1931 she moved to New York City to train at the newly opened Mary </w:t>
      </w:r>
      <w:proofErr w:type="spellStart"/>
      <w:r w:rsidR="00357CC8" w:rsidRPr="00E750EE">
        <w:t>Wigman</w:t>
      </w:r>
      <w:proofErr w:type="spellEnd"/>
      <w:r w:rsidR="00357CC8" w:rsidRPr="00E750EE">
        <w:t xml:space="preserve"> School, where she studied with </w:t>
      </w:r>
      <w:proofErr w:type="spellStart"/>
      <w:r w:rsidR="00357CC8" w:rsidRPr="00E750EE">
        <w:t>Hanya</w:t>
      </w:r>
      <w:proofErr w:type="spellEnd"/>
      <w:r w:rsidR="00357CC8" w:rsidRPr="00E750EE">
        <w:t xml:space="preserve"> Holm and Fe Alf. She later continued her training at the Martha Graham School and danced with Charles Wei</w:t>
      </w:r>
      <w:r w:rsidR="006F49DD">
        <w:t>dman through the Federal Theater</w:t>
      </w:r>
      <w:r w:rsidR="00357CC8" w:rsidRPr="00E750EE">
        <w:t xml:space="preserve"> Project. </w:t>
      </w:r>
      <w:proofErr w:type="spellStart"/>
      <w:r w:rsidR="00357CC8" w:rsidRPr="00E750EE">
        <w:t>Gerrard</w:t>
      </w:r>
      <w:proofErr w:type="spellEnd"/>
      <w:r w:rsidR="00357CC8" w:rsidRPr="00E750EE">
        <w:t xml:space="preserve"> eventually settled in California where she continued to teach</w:t>
      </w:r>
      <w:r w:rsidR="00357CC8">
        <w:t>, choreograph</w:t>
      </w:r>
      <w:r w:rsidR="00357CC8" w:rsidRPr="00E750EE">
        <w:t xml:space="preserve"> and perform. From 1932-1936 </w:t>
      </w:r>
      <w:proofErr w:type="spellStart"/>
      <w:r w:rsidR="00357CC8" w:rsidRPr="00E750EE">
        <w:t>Gerrard</w:t>
      </w:r>
      <w:proofErr w:type="spellEnd"/>
      <w:r w:rsidR="00357CC8" w:rsidRPr="00E750EE">
        <w:t xml:space="preserve"> returned to Toronto for personal reasons and opened The Studio of Modern Dance, teaching adaptations of exercises in absolute dance (</w:t>
      </w:r>
      <w:proofErr w:type="spellStart"/>
      <w:r w:rsidR="00357CC8" w:rsidRPr="00E750EE">
        <w:rPr>
          <w:i/>
        </w:rPr>
        <w:t>Ausdruckstanz</w:t>
      </w:r>
      <w:proofErr w:type="spellEnd"/>
      <w:r w:rsidR="00357CC8" w:rsidRPr="00E750EE">
        <w:t xml:space="preserve">) learned at the </w:t>
      </w:r>
      <w:proofErr w:type="spellStart"/>
      <w:r w:rsidR="00357CC8" w:rsidRPr="00E750EE">
        <w:t>Wigman</w:t>
      </w:r>
      <w:proofErr w:type="spellEnd"/>
      <w:r w:rsidR="00357CC8" w:rsidRPr="00E750EE">
        <w:t xml:space="preserve"> School. </w:t>
      </w:r>
      <w:r w:rsidR="00357CC8">
        <w:t>H</w:t>
      </w:r>
      <w:r w:rsidR="00357CC8" w:rsidRPr="00E750EE">
        <w:t xml:space="preserve">er influence is seen through to the professionalization of modern dance in Toronto in the 1960s. </w:t>
      </w:r>
      <w:proofErr w:type="spellStart"/>
      <w:r w:rsidR="00357CC8">
        <w:t>Gerrard’s</w:t>
      </w:r>
      <w:proofErr w:type="spellEnd"/>
      <w:r w:rsidR="00357CC8">
        <w:t xml:space="preserve"> professional career</w:t>
      </w:r>
      <w:r w:rsidR="00357CC8" w:rsidRPr="00E750EE">
        <w:t xml:space="preserve"> blossomed during her return to Toronto</w:t>
      </w:r>
      <w:r w:rsidR="00357CC8">
        <w:t>. S</w:t>
      </w:r>
      <w:r w:rsidR="00357CC8" w:rsidRPr="00E750EE">
        <w:t>he performed her own work before crowds as large as 8</w:t>
      </w:r>
      <w:r w:rsidR="006F49DD">
        <w:t>,</w:t>
      </w:r>
      <w:r w:rsidR="00357CC8" w:rsidRPr="00E750EE">
        <w:t>000 with the Toronto Symphony Orchestra</w:t>
      </w:r>
      <w:r w:rsidR="00357CC8">
        <w:t>, exposing</w:t>
      </w:r>
      <w:r w:rsidR="00357CC8" w:rsidRPr="00E750EE">
        <w:t xml:space="preserve"> many to modern dance </w:t>
      </w:r>
      <w:r w:rsidR="00357CC8">
        <w:t>for the first time. H</w:t>
      </w:r>
      <w:r w:rsidR="00357CC8" w:rsidRPr="00E750EE">
        <w:t xml:space="preserve">er article/manifesto ‘The Dance’ explains the artistic and philosophical impetus behind the </w:t>
      </w:r>
      <w:proofErr w:type="gramStart"/>
      <w:r w:rsidR="00357CC8" w:rsidRPr="00E750EE">
        <w:t>developing</w:t>
      </w:r>
      <w:proofErr w:type="gramEnd"/>
      <w:r w:rsidR="00357CC8" w:rsidRPr="00E750EE">
        <w:t xml:space="preserve"> art form. She eventually returned</w:t>
      </w:r>
      <w:r w:rsidR="00357CC8">
        <w:t xml:space="preserve"> to New York where there was an</w:t>
      </w:r>
      <w:r w:rsidR="00357CC8" w:rsidRPr="00E750EE">
        <w:t xml:space="preserve"> infrastructure to supp</w:t>
      </w:r>
      <w:r w:rsidR="00357CC8">
        <w:t>ort a professional dance career which was not available in Canada at the time.</w:t>
      </w:r>
      <w:r w:rsidR="00357CC8" w:rsidRPr="00E750EE">
        <w:t xml:space="preserve"> </w:t>
      </w:r>
    </w:p>
    <w:p w14:paraId="2E07A793" w14:textId="77777777" w:rsidR="00357CC8" w:rsidRPr="00E750EE" w:rsidRDefault="00357CC8" w:rsidP="00357CC8">
      <w:pPr>
        <w:contextualSpacing/>
      </w:pPr>
    </w:p>
    <w:p w14:paraId="05081422" w14:textId="489A9947" w:rsidR="00357CC8" w:rsidRPr="006F49DD" w:rsidRDefault="00922B86" w:rsidP="00357CC8">
      <w:pPr>
        <w:contextualSpacing/>
        <w:rPr>
          <w:b/>
        </w:rPr>
      </w:pPr>
      <w:r>
        <w:rPr>
          <w:b/>
        </w:rPr>
        <w:t xml:space="preserve">Early </w:t>
      </w:r>
      <w:r w:rsidR="00152624">
        <w:rPr>
          <w:b/>
        </w:rPr>
        <w:t>Career</w:t>
      </w:r>
    </w:p>
    <w:p w14:paraId="21F91753" w14:textId="26A73384" w:rsidR="00357CC8" w:rsidRPr="00E750EE" w:rsidRDefault="00357CC8" w:rsidP="00357CC8">
      <w:pPr>
        <w:contextualSpacing/>
      </w:pPr>
      <w:proofErr w:type="spellStart"/>
      <w:r w:rsidRPr="00E750EE">
        <w:t>Saida</w:t>
      </w:r>
      <w:proofErr w:type="spellEnd"/>
      <w:r w:rsidRPr="00E750EE">
        <w:t xml:space="preserve"> </w:t>
      </w:r>
      <w:proofErr w:type="spellStart"/>
      <w:r w:rsidRPr="00E750EE">
        <w:t>Gerrard</w:t>
      </w:r>
      <w:proofErr w:type="spellEnd"/>
      <w:r w:rsidRPr="00E750EE">
        <w:t xml:space="preserve"> was born in Toronto, Ontario, Canada to Russian immigrant parents </w:t>
      </w:r>
      <w:proofErr w:type="spellStart"/>
      <w:r w:rsidRPr="00E750EE">
        <w:t>Luba</w:t>
      </w:r>
      <w:proofErr w:type="spellEnd"/>
      <w:r w:rsidRPr="00E750EE">
        <w:t xml:space="preserve"> (Lillian) and Maurice </w:t>
      </w:r>
      <w:proofErr w:type="spellStart"/>
      <w:r w:rsidRPr="00E750EE">
        <w:t>Gerrard</w:t>
      </w:r>
      <w:proofErr w:type="spellEnd"/>
      <w:r w:rsidRPr="00E750EE">
        <w:t xml:space="preserve"> who had amateur interests in music. She gained early exposure to the performing arts through the Workman’s Circle </w:t>
      </w:r>
      <w:proofErr w:type="spellStart"/>
      <w:r w:rsidRPr="00E750EE">
        <w:t>Peretz</w:t>
      </w:r>
      <w:proofErr w:type="spellEnd"/>
      <w:r w:rsidRPr="00E750EE">
        <w:t xml:space="preserve"> School, a secular, arts-oriented program that focused on Jewish history and culture. At Workman’s Circle she studied character and interpretive dance with Nora Griffiths, Maude McCann and Amy Sternberg. Her early training also included classes in </w:t>
      </w:r>
      <w:proofErr w:type="spellStart"/>
      <w:r w:rsidRPr="00E750EE">
        <w:t>Dalcroze</w:t>
      </w:r>
      <w:proofErr w:type="spellEnd"/>
      <w:r w:rsidRPr="00E750EE">
        <w:t xml:space="preserve"> Eurhythmics with Madeleine Boss </w:t>
      </w:r>
      <w:proofErr w:type="spellStart"/>
      <w:r w:rsidRPr="00E750EE">
        <w:t>Lasserre</w:t>
      </w:r>
      <w:proofErr w:type="spellEnd"/>
      <w:r w:rsidRPr="00E750EE">
        <w:t xml:space="preserve"> at the Royal Conservatory of music. Recognizing the limits of Toronto’s undeveloped dance scene, </w:t>
      </w:r>
      <w:proofErr w:type="spellStart"/>
      <w:r w:rsidRPr="00E750EE">
        <w:t>Gerrard</w:t>
      </w:r>
      <w:proofErr w:type="spellEnd"/>
      <w:r w:rsidRPr="00E750EE">
        <w:t xml:space="preserve"> moved to New York City in 1931 where she studied on a full scholarship with </w:t>
      </w:r>
      <w:proofErr w:type="spellStart"/>
      <w:r w:rsidRPr="00E750EE">
        <w:t>Hanya</w:t>
      </w:r>
      <w:proofErr w:type="spellEnd"/>
      <w:r w:rsidRPr="00E750EE">
        <w:t xml:space="preserve"> Holm at the newly opened Mary </w:t>
      </w:r>
      <w:proofErr w:type="spellStart"/>
      <w:r w:rsidRPr="00E750EE">
        <w:t>Wigman</w:t>
      </w:r>
      <w:proofErr w:type="spellEnd"/>
      <w:r w:rsidRPr="00E750EE">
        <w:t xml:space="preserve"> School. She would continue her training with Fe Alf, Martha Graham, Louis Horst, Margaret </w:t>
      </w:r>
      <w:proofErr w:type="spellStart"/>
      <w:r w:rsidRPr="00E750EE">
        <w:t>Craske</w:t>
      </w:r>
      <w:proofErr w:type="spellEnd"/>
      <w:r w:rsidR="00583317">
        <w:t>,</w:t>
      </w:r>
      <w:r w:rsidRPr="00E750EE">
        <w:t xml:space="preserve"> and Hebraic dancer Benjamin </w:t>
      </w:r>
      <w:proofErr w:type="spellStart"/>
      <w:r w:rsidRPr="00E750EE">
        <w:t>Zemach</w:t>
      </w:r>
      <w:proofErr w:type="spellEnd"/>
      <w:r w:rsidRPr="00E750EE">
        <w:t>.</w:t>
      </w:r>
    </w:p>
    <w:p w14:paraId="6C007CC1" w14:textId="77777777" w:rsidR="00357CC8" w:rsidRDefault="00357CC8" w:rsidP="00357CC8">
      <w:pPr>
        <w:contextualSpacing/>
      </w:pPr>
    </w:p>
    <w:p w14:paraId="1CBCD7B3" w14:textId="13ABAFD1" w:rsidR="00152624" w:rsidRPr="00152624" w:rsidRDefault="00152624" w:rsidP="00357CC8">
      <w:pPr>
        <w:contextualSpacing/>
        <w:rPr>
          <w:b/>
        </w:rPr>
      </w:pPr>
      <w:r w:rsidRPr="00152624">
        <w:rPr>
          <w:b/>
        </w:rPr>
        <w:t>Contributions to the Field and to Modernism</w:t>
      </w:r>
    </w:p>
    <w:p w14:paraId="69BEDB64" w14:textId="76A6270F" w:rsidR="00357CC8" w:rsidRPr="00E750EE" w:rsidRDefault="00357CC8" w:rsidP="00357CC8">
      <w:pPr>
        <w:contextualSpacing/>
      </w:pPr>
      <w:r w:rsidRPr="00E750EE">
        <w:t xml:space="preserve">Following the death of her father in 1932, </w:t>
      </w:r>
      <w:proofErr w:type="spellStart"/>
      <w:r w:rsidRPr="00E750EE">
        <w:t>Gerrard</w:t>
      </w:r>
      <w:proofErr w:type="spellEnd"/>
      <w:r w:rsidRPr="00E750EE">
        <w:t xml:space="preserve"> returned to Toronto to help support her family during the depression. She opened her own school, the Studio of Modern Dance, and based her classes on the exercises and improvisations she learned at the </w:t>
      </w:r>
      <w:proofErr w:type="spellStart"/>
      <w:r w:rsidRPr="00E750EE">
        <w:t>Wigman</w:t>
      </w:r>
      <w:proofErr w:type="spellEnd"/>
      <w:r w:rsidRPr="00E750EE">
        <w:t xml:space="preserve"> School, though she strove to keep them unique. With Holm she studied absolute dance or </w:t>
      </w:r>
      <w:proofErr w:type="spellStart"/>
      <w:r w:rsidRPr="00E750EE">
        <w:rPr>
          <w:i/>
        </w:rPr>
        <w:t>Ausdruckstanz</w:t>
      </w:r>
      <w:proofErr w:type="spellEnd"/>
      <w:r w:rsidRPr="00E750EE">
        <w:t xml:space="preserve">, the expression of feeling and emotion through movement. These aligned with and developed </w:t>
      </w:r>
      <w:proofErr w:type="spellStart"/>
      <w:r w:rsidRPr="00E750EE">
        <w:t>Gerrard’s</w:t>
      </w:r>
      <w:proofErr w:type="spellEnd"/>
      <w:r w:rsidRPr="00E750EE">
        <w:t xml:space="preserve"> own beliefs that dance could reflect contemporary times and act as both commentary and community builder. </w:t>
      </w:r>
      <w:proofErr w:type="spellStart"/>
      <w:r w:rsidRPr="00E750EE">
        <w:t>Gerrard</w:t>
      </w:r>
      <w:proofErr w:type="spellEnd"/>
      <w:r w:rsidRPr="00E750EE">
        <w:t xml:space="preserve"> was in New York when developing modern dance of both European and American streams (Graham, Humphrey) were aligned to different degrees with social action, </w:t>
      </w:r>
      <w:r w:rsidR="00583317">
        <w:t>s</w:t>
      </w:r>
      <w:r w:rsidRPr="00E750EE">
        <w:t xml:space="preserve">ocialism and </w:t>
      </w:r>
      <w:r w:rsidR="00583317">
        <w:t>c</w:t>
      </w:r>
      <w:r w:rsidRPr="00E750EE">
        <w:t>ommunism. While she never had direct affiliations with any party</w:t>
      </w:r>
      <w:r w:rsidR="00152624">
        <w:t>,</w:t>
      </w:r>
      <w:r w:rsidRPr="00E750EE">
        <w:t xml:space="preserve"> </w:t>
      </w:r>
      <w:proofErr w:type="spellStart"/>
      <w:r w:rsidRPr="00E750EE">
        <w:t>Gerrard</w:t>
      </w:r>
      <w:proofErr w:type="spellEnd"/>
      <w:r w:rsidRPr="00E750EE">
        <w:t xml:space="preserve"> considered herself a dance revolutionary – working against the so-called frivolity of classical ballet and vaudeville.</w:t>
      </w:r>
    </w:p>
    <w:p w14:paraId="59F37F17" w14:textId="77777777" w:rsidR="00357CC8" w:rsidRDefault="00357CC8" w:rsidP="00357CC8">
      <w:pPr>
        <w:contextualSpacing/>
      </w:pPr>
    </w:p>
    <w:p w14:paraId="6D5F878B" w14:textId="5B7559A0" w:rsidR="00357CC8" w:rsidRPr="00E750EE" w:rsidRDefault="00357CC8" w:rsidP="00357CC8">
      <w:pPr>
        <w:contextualSpacing/>
      </w:pPr>
      <w:r w:rsidRPr="00E750EE">
        <w:t xml:space="preserve">During her return to Toronto </w:t>
      </w:r>
      <w:proofErr w:type="spellStart"/>
      <w:r w:rsidRPr="00E750EE">
        <w:t>Gerrard</w:t>
      </w:r>
      <w:proofErr w:type="spellEnd"/>
      <w:r w:rsidRPr="00E750EE">
        <w:t xml:space="preserve"> began to perform professionally. In 1934 she appeared before an audience of 8</w:t>
      </w:r>
      <w:r w:rsidR="00D41354">
        <w:t>,</w:t>
      </w:r>
      <w:r w:rsidRPr="00E750EE">
        <w:t xml:space="preserve">000 with the Toronto Symphony Orchestra (TSO) and in 1935 her works </w:t>
      </w:r>
      <w:r w:rsidRPr="00E750EE">
        <w:rPr>
          <w:i/>
        </w:rPr>
        <w:lastRenderedPageBreak/>
        <w:t xml:space="preserve">Hunger </w:t>
      </w:r>
      <w:r w:rsidRPr="00E750EE">
        <w:t xml:space="preserve">(1935), </w:t>
      </w:r>
      <w:proofErr w:type="spellStart"/>
      <w:r w:rsidRPr="00E750EE">
        <w:rPr>
          <w:i/>
        </w:rPr>
        <w:t>Schwanda</w:t>
      </w:r>
      <w:proofErr w:type="spellEnd"/>
      <w:r w:rsidRPr="00E750EE">
        <w:t xml:space="preserve"> (1935) and </w:t>
      </w:r>
      <w:r w:rsidRPr="00E750EE">
        <w:rPr>
          <w:i/>
        </w:rPr>
        <w:t xml:space="preserve">Negro Spirituals </w:t>
      </w:r>
      <w:r w:rsidRPr="00E750EE">
        <w:t>(1935) were performed at the TSO’s Promenade Symphony Concerts, a program series developed to build audiences through offering afforda</w:t>
      </w:r>
      <w:r>
        <w:t xml:space="preserve">ble prices. Reviews describe </w:t>
      </w:r>
      <w:proofErr w:type="spellStart"/>
      <w:r>
        <w:t>Gerrard’s</w:t>
      </w:r>
      <w:proofErr w:type="spellEnd"/>
      <w:r w:rsidRPr="00E750EE">
        <w:t xml:space="preserve"> dancing and choreography as exceptionally musical and her movement ranging from</w:t>
      </w:r>
      <w:r>
        <w:t xml:space="preserve"> graceful to grotesque. Her performances would have provided many spectators with</w:t>
      </w:r>
      <w:r w:rsidRPr="00E750EE">
        <w:t xml:space="preserve"> their first exposure to ‘new’ or modern dance</w:t>
      </w:r>
      <w:r>
        <w:t>. H</w:t>
      </w:r>
      <w:r w:rsidRPr="00E750EE">
        <w:t xml:space="preserve">er classes offered students something previously unavailable in Toronto, making her both a pioneer and advocate in Canada. </w:t>
      </w:r>
      <w:r>
        <w:t xml:space="preserve">Her influence can be traced through to the professionalization of modern dance in 1960s Toronto. </w:t>
      </w:r>
      <w:proofErr w:type="spellStart"/>
      <w:r>
        <w:t>Gerrard</w:t>
      </w:r>
      <w:proofErr w:type="spellEnd"/>
      <w:r w:rsidRPr="00E750EE">
        <w:t xml:space="preserve"> received substantial praise and media recognition. Her 1935 article/manifesto  </w:t>
      </w:r>
      <w:r w:rsidR="00094B58">
        <w:t>‘</w:t>
      </w:r>
      <w:r w:rsidRPr="00E750EE">
        <w:t>The Dance</w:t>
      </w:r>
      <w:r w:rsidR="00094B58">
        <w:t xml:space="preserve">’, which was published in </w:t>
      </w:r>
      <w:r w:rsidRPr="00E750EE">
        <w:rPr>
          <w:i/>
        </w:rPr>
        <w:t>The Jewish Standard</w:t>
      </w:r>
      <w:r w:rsidRPr="00E750EE">
        <w:t xml:space="preserve"> was a response to the questions she was frequently asked about her approach to dance.</w:t>
      </w:r>
    </w:p>
    <w:p w14:paraId="04DFD8CF" w14:textId="77777777" w:rsidR="00357CC8" w:rsidRDefault="00357CC8" w:rsidP="00357CC8">
      <w:pPr>
        <w:contextualSpacing/>
      </w:pPr>
    </w:p>
    <w:p w14:paraId="1A8D33AD" w14:textId="7620FF8D" w:rsidR="00357CC8" w:rsidRDefault="00357CC8" w:rsidP="00357CC8">
      <w:pPr>
        <w:contextualSpacing/>
      </w:pPr>
      <w:r w:rsidRPr="00E750EE">
        <w:t xml:space="preserve">Despite her successes in Canada, </w:t>
      </w:r>
      <w:proofErr w:type="spellStart"/>
      <w:r w:rsidRPr="00E750EE">
        <w:t>Gerrard</w:t>
      </w:r>
      <w:proofErr w:type="spellEnd"/>
      <w:r w:rsidRPr="00E750EE">
        <w:t xml:space="preserve"> left for New York again in 1936, returning to Toronto to perform only a number of times, the last in 1949/</w:t>
      </w:r>
      <w:r w:rsidR="00063573">
        <w:t>19</w:t>
      </w:r>
      <w:r w:rsidRPr="00E750EE">
        <w:t xml:space="preserve">50 when she created dances for Max </w:t>
      </w:r>
      <w:proofErr w:type="spellStart"/>
      <w:r w:rsidRPr="00E750EE">
        <w:t>Helfman’s</w:t>
      </w:r>
      <w:proofErr w:type="spellEnd"/>
      <w:r w:rsidRPr="00E750EE">
        <w:t xml:space="preserve"> choral tone poem </w:t>
      </w:r>
      <w:r w:rsidRPr="00E750EE">
        <w:rPr>
          <w:i/>
        </w:rPr>
        <w:t xml:space="preserve">Die </w:t>
      </w:r>
      <w:proofErr w:type="spellStart"/>
      <w:r w:rsidRPr="00E750EE">
        <w:rPr>
          <w:i/>
        </w:rPr>
        <w:t>Naye</w:t>
      </w:r>
      <w:proofErr w:type="spellEnd"/>
      <w:r w:rsidRPr="00E750EE">
        <w:rPr>
          <w:i/>
        </w:rPr>
        <w:t xml:space="preserve"> </w:t>
      </w:r>
      <w:proofErr w:type="spellStart"/>
      <w:r w:rsidRPr="00E750EE">
        <w:rPr>
          <w:i/>
        </w:rPr>
        <w:t>Hagode</w:t>
      </w:r>
      <w:proofErr w:type="spellEnd"/>
      <w:r w:rsidRPr="00E750EE">
        <w:rPr>
          <w:i/>
        </w:rPr>
        <w:t xml:space="preserve"> </w:t>
      </w:r>
      <w:r w:rsidR="00063573">
        <w:t>(</w:t>
      </w:r>
      <w:r w:rsidRPr="00063573">
        <w:rPr>
          <w:i/>
        </w:rPr>
        <w:t>The Glory of the Warsaw Ghetto</w:t>
      </w:r>
      <w:r w:rsidR="00063573">
        <w:t>)</w:t>
      </w:r>
      <w:r w:rsidRPr="00E750EE">
        <w:t>. Toronto simply did not have the infrastructure to support a professional dance career. Upon her return to New York she continued her training with Martha Graham and became i</w:t>
      </w:r>
      <w:r w:rsidR="008C0CCD">
        <w:t>nvolved with the Federal Theater</w:t>
      </w:r>
      <w:r w:rsidRPr="00E750EE">
        <w:t xml:space="preserve"> Project (1935-1939). She danced with Charles Weidman through this initiative. In 1951 she and her musician husband Aube </w:t>
      </w:r>
      <w:proofErr w:type="spellStart"/>
      <w:r w:rsidRPr="00E750EE">
        <w:t>Tzerko</w:t>
      </w:r>
      <w:proofErr w:type="spellEnd"/>
      <w:r w:rsidRPr="00E750EE">
        <w:t xml:space="preserve"> turned down an offer to head up the dance and music departments at the Toronto Royal Conservatory of Music and instead moved to Los Angeles, California where she continued to teach, choreograph and perform. She died there </w:t>
      </w:r>
      <w:r>
        <w:t>in March 2005.</w:t>
      </w:r>
    </w:p>
    <w:p w14:paraId="36042959" w14:textId="77777777" w:rsidR="00357CC8" w:rsidRDefault="00357CC8" w:rsidP="00357CC8">
      <w:pPr>
        <w:contextualSpacing/>
      </w:pPr>
    </w:p>
    <w:p w14:paraId="2558DBD9" w14:textId="055C8FF1" w:rsidR="00DB6819" w:rsidRPr="00DB6819" w:rsidRDefault="00DB6819" w:rsidP="00357CC8">
      <w:pPr>
        <w:contextualSpacing/>
        <w:rPr>
          <w:b/>
        </w:rPr>
      </w:pPr>
      <w:bookmarkStart w:id="0" w:name="_GoBack"/>
      <w:r w:rsidRPr="00DB6819">
        <w:rPr>
          <w:b/>
        </w:rPr>
        <w:t xml:space="preserve">Seika </w:t>
      </w:r>
      <w:proofErr w:type="spellStart"/>
      <w:r w:rsidRPr="00DB6819">
        <w:rPr>
          <w:b/>
        </w:rPr>
        <w:t>Boye</w:t>
      </w:r>
      <w:proofErr w:type="spellEnd"/>
    </w:p>
    <w:bookmarkEnd w:id="0"/>
    <w:p w14:paraId="5CF6DBD6" w14:textId="77777777" w:rsidR="00DB6819" w:rsidRDefault="00DB6819" w:rsidP="00357CC8">
      <w:pPr>
        <w:contextualSpacing/>
      </w:pPr>
    </w:p>
    <w:p w14:paraId="6779DF16" w14:textId="081C223C" w:rsidR="00357CC8" w:rsidRPr="00DB6819" w:rsidRDefault="00357CC8" w:rsidP="00357CC8">
      <w:pPr>
        <w:widowControl w:val="0"/>
        <w:autoSpaceDE w:val="0"/>
        <w:autoSpaceDN w:val="0"/>
        <w:adjustRightInd w:val="0"/>
        <w:spacing w:after="320"/>
        <w:contextualSpacing/>
        <w:rPr>
          <w:rFonts w:cs="Times"/>
          <w:sz w:val="32"/>
          <w:szCs w:val="32"/>
        </w:rPr>
      </w:pPr>
      <w:r>
        <w:rPr>
          <w:rFonts w:cs="Verdana"/>
          <w:b/>
          <w:bCs/>
        </w:rPr>
        <w:t xml:space="preserve">List of </w:t>
      </w:r>
      <w:r w:rsidRPr="00E750EE">
        <w:rPr>
          <w:rFonts w:cs="Verdana"/>
          <w:b/>
          <w:bCs/>
        </w:rPr>
        <w:t>Works</w:t>
      </w:r>
    </w:p>
    <w:p w14:paraId="49704DB2" w14:textId="77777777" w:rsidR="00357CC8" w:rsidRDefault="00357CC8" w:rsidP="00357CC8">
      <w:pPr>
        <w:widowControl w:val="0"/>
        <w:autoSpaceDE w:val="0"/>
        <w:autoSpaceDN w:val="0"/>
        <w:adjustRightInd w:val="0"/>
        <w:spacing w:after="320"/>
        <w:contextualSpacing/>
        <w:rPr>
          <w:rFonts w:cs="Times"/>
          <w:sz w:val="32"/>
          <w:szCs w:val="32"/>
        </w:rPr>
      </w:pPr>
      <w:r w:rsidRPr="00E750EE">
        <w:rPr>
          <w:rFonts w:cs="Verdana"/>
          <w:i/>
          <w:iCs/>
        </w:rPr>
        <w:t xml:space="preserve">The Sorcerer's Apprentice </w:t>
      </w:r>
      <w:r w:rsidRPr="00E750EE">
        <w:rPr>
          <w:rFonts w:cs="Verdana"/>
        </w:rPr>
        <w:t>(1934)</w:t>
      </w:r>
    </w:p>
    <w:p w14:paraId="7461856B" w14:textId="77777777" w:rsidR="00357CC8" w:rsidRPr="000B0FA9" w:rsidRDefault="00357CC8" w:rsidP="00357CC8">
      <w:pPr>
        <w:widowControl w:val="0"/>
        <w:autoSpaceDE w:val="0"/>
        <w:autoSpaceDN w:val="0"/>
        <w:adjustRightInd w:val="0"/>
        <w:spacing w:after="320"/>
        <w:contextualSpacing/>
        <w:rPr>
          <w:rFonts w:cs="Times"/>
          <w:sz w:val="32"/>
          <w:szCs w:val="32"/>
        </w:rPr>
      </w:pPr>
      <w:r w:rsidRPr="00E750EE">
        <w:rPr>
          <w:rFonts w:cs="Verdana"/>
          <w:i/>
          <w:iCs/>
        </w:rPr>
        <w:t>Country Dance</w:t>
      </w:r>
      <w:r>
        <w:rPr>
          <w:rFonts w:cs="Verdana"/>
        </w:rPr>
        <w:t xml:space="preserve"> (1934)</w:t>
      </w:r>
      <w:r w:rsidRPr="00E750EE">
        <w:rPr>
          <w:rFonts w:cs="Verdana"/>
        </w:rPr>
        <w:t> </w:t>
      </w:r>
    </w:p>
    <w:p w14:paraId="5C485F51"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Death and Transfiguration</w:t>
      </w:r>
      <w:r>
        <w:rPr>
          <w:rFonts w:cs="Verdana"/>
        </w:rPr>
        <w:t xml:space="preserve"> (1935)</w:t>
      </w:r>
    </w:p>
    <w:p w14:paraId="5F7D9398"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Dance Suite - Songs of Unrest</w:t>
      </w:r>
      <w:r>
        <w:rPr>
          <w:rFonts w:cs="Verdana"/>
        </w:rPr>
        <w:t xml:space="preserve"> (1935)</w:t>
      </w:r>
    </w:p>
    <w:p w14:paraId="6F942102"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Hunger</w:t>
      </w:r>
      <w:r w:rsidRPr="00E750EE">
        <w:rPr>
          <w:rFonts w:cs="Verdana"/>
        </w:rPr>
        <w:t xml:space="preserve"> (</w:t>
      </w:r>
      <w:r>
        <w:rPr>
          <w:rFonts w:cs="Verdana"/>
        </w:rPr>
        <w:t>1935)</w:t>
      </w:r>
    </w:p>
    <w:p w14:paraId="20C32E0F"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Negro Spirituals</w:t>
      </w:r>
      <w:r>
        <w:rPr>
          <w:rFonts w:cs="Verdana"/>
        </w:rPr>
        <w:t xml:space="preserve"> (1935)</w:t>
      </w:r>
    </w:p>
    <w:p w14:paraId="7ACAB150"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 xml:space="preserve">Sea Shanties </w:t>
      </w:r>
      <w:r>
        <w:rPr>
          <w:rFonts w:cs="Verdana"/>
        </w:rPr>
        <w:t>(c. 1937)</w:t>
      </w:r>
    </w:p>
    <w:p w14:paraId="4D014F49"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Waterfront Hornpipe</w:t>
      </w:r>
      <w:r>
        <w:rPr>
          <w:rFonts w:cs="Verdana"/>
        </w:rPr>
        <w:t xml:space="preserve"> (c. 1937)</w:t>
      </w:r>
    </w:p>
    <w:p w14:paraId="464B7BDC" w14:textId="600B390C" w:rsidR="00357CC8" w:rsidRDefault="00357CC8" w:rsidP="00357CC8">
      <w:pPr>
        <w:widowControl w:val="0"/>
        <w:autoSpaceDE w:val="0"/>
        <w:autoSpaceDN w:val="0"/>
        <w:adjustRightInd w:val="0"/>
        <w:spacing w:after="320"/>
        <w:contextualSpacing/>
        <w:rPr>
          <w:rFonts w:cs="Verdana"/>
        </w:rPr>
      </w:pPr>
      <w:r w:rsidRPr="00E750EE">
        <w:rPr>
          <w:rFonts w:cs="Verdana"/>
          <w:i/>
          <w:iCs/>
        </w:rPr>
        <w:t>The Machin</w:t>
      </w:r>
      <w:r w:rsidRPr="00E750EE">
        <w:rPr>
          <w:rFonts w:cs="Verdana"/>
        </w:rPr>
        <w:t>e (an ice ballet for th</w:t>
      </w:r>
      <w:r w:rsidR="008C0CCD">
        <w:rPr>
          <w:rFonts w:cs="Verdana"/>
        </w:rPr>
        <w:t xml:space="preserve">e Toronto Skating Club, </w:t>
      </w:r>
      <w:r>
        <w:rPr>
          <w:rFonts w:cs="Verdana"/>
        </w:rPr>
        <w:t>1938)</w:t>
      </w:r>
    </w:p>
    <w:p w14:paraId="58DB86AE"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 xml:space="preserve">Fancy Fanny's </w:t>
      </w:r>
      <w:proofErr w:type="spellStart"/>
      <w:r w:rsidRPr="00E750EE">
        <w:rPr>
          <w:rFonts w:cs="Verdana"/>
          <w:i/>
          <w:iCs/>
        </w:rPr>
        <w:t>Judgement</w:t>
      </w:r>
      <w:proofErr w:type="spellEnd"/>
      <w:r w:rsidRPr="00E750EE">
        <w:rPr>
          <w:rFonts w:cs="Verdana"/>
          <w:i/>
          <w:iCs/>
        </w:rPr>
        <w:t xml:space="preserve"> Day</w:t>
      </w:r>
      <w:r>
        <w:rPr>
          <w:rFonts w:cs="Verdana"/>
        </w:rPr>
        <w:t xml:space="preserve"> (1939)</w:t>
      </w:r>
    </w:p>
    <w:p w14:paraId="78CAA04B"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The Grapes of Wrath</w:t>
      </w:r>
      <w:r>
        <w:rPr>
          <w:rFonts w:cs="Verdana"/>
        </w:rPr>
        <w:t xml:space="preserve"> (c. 1941)</w:t>
      </w:r>
    </w:p>
    <w:p w14:paraId="10744A58"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Hostages, 1942</w:t>
      </w:r>
      <w:r>
        <w:rPr>
          <w:rFonts w:cs="Verdana"/>
        </w:rPr>
        <w:t xml:space="preserve"> (1942)</w:t>
      </w:r>
    </w:p>
    <w:p w14:paraId="5854D76D" w14:textId="4FD54203" w:rsidR="00357CC8" w:rsidRDefault="00357CC8" w:rsidP="00357CC8">
      <w:pPr>
        <w:widowControl w:val="0"/>
        <w:autoSpaceDE w:val="0"/>
        <w:autoSpaceDN w:val="0"/>
        <w:adjustRightInd w:val="0"/>
        <w:spacing w:after="320"/>
        <w:contextualSpacing/>
        <w:rPr>
          <w:rFonts w:cs="Verdana"/>
        </w:rPr>
      </w:pPr>
      <w:r w:rsidRPr="00E750EE">
        <w:rPr>
          <w:rFonts w:cs="Verdana"/>
          <w:i/>
          <w:iCs/>
        </w:rPr>
        <w:t xml:space="preserve">Die </w:t>
      </w:r>
      <w:proofErr w:type="spellStart"/>
      <w:r w:rsidRPr="00E750EE">
        <w:rPr>
          <w:rFonts w:cs="Verdana"/>
          <w:i/>
          <w:iCs/>
        </w:rPr>
        <w:t>Naye</w:t>
      </w:r>
      <w:proofErr w:type="spellEnd"/>
      <w:r w:rsidRPr="00E750EE">
        <w:rPr>
          <w:rFonts w:cs="Verdana"/>
          <w:i/>
          <w:iCs/>
        </w:rPr>
        <w:t xml:space="preserve"> </w:t>
      </w:r>
      <w:proofErr w:type="spellStart"/>
      <w:r w:rsidRPr="00E750EE">
        <w:rPr>
          <w:rFonts w:cs="Verdana"/>
          <w:i/>
          <w:iCs/>
        </w:rPr>
        <w:t>Hagodah</w:t>
      </w:r>
      <w:proofErr w:type="spellEnd"/>
      <w:r w:rsidRPr="00E750EE">
        <w:rPr>
          <w:rFonts w:cs="Verdana"/>
          <w:i/>
          <w:iCs/>
        </w:rPr>
        <w:t xml:space="preserve"> (Glory of the Warsaw </w:t>
      </w:r>
      <w:r w:rsidRPr="008C0CCD">
        <w:rPr>
          <w:rFonts w:cs="Verdana"/>
          <w:iCs/>
        </w:rPr>
        <w:t>Ghetto</w:t>
      </w:r>
      <w:r w:rsidR="008C0CCD">
        <w:rPr>
          <w:rFonts w:cs="Verdana"/>
          <w:iCs/>
        </w:rPr>
        <w:t xml:space="preserve">, </w:t>
      </w:r>
      <w:r w:rsidRPr="008C0CCD">
        <w:rPr>
          <w:rFonts w:cs="Verdana"/>
        </w:rPr>
        <w:t>1949</w:t>
      </w:r>
      <w:r>
        <w:rPr>
          <w:rFonts w:cs="Verdana"/>
        </w:rPr>
        <w:t>)</w:t>
      </w:r>
      <w:r w:rsidRPr="00E750EE">
        <w:rPr>
          <w:rFonts w:cs="Verdana"/>
        </w:rPr>
        <w:t> </w:t>
      </w:r>
    </w:p>
    <w:p w14:paraId="49D9590C"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The Lonesome Train</w:t>
      </w:r>
      <w:r>
        <w:rPr>
          <w:rFonts w:cs="Verdana"/>
        </w:rPr>
        <w:t xml:space="preserve"> (1950)</w:t>
      </w:r>
    </w:p>
    <w:p w14:paraId="323A0324"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Hebraic Legend</w:t>
      </w:r>
      <w:r>
        <w:rPr>
          <w:rFonts w:cs="Verdana"/>
        </w:rPr>
        <w:t xml:space="preserve"> (1950)</w:t>
      </w:r>
    </w:p>
    <w:p w14:paraId="7697577D" w14:textId="77777777" w:rsidR="00357CC8" w:rsidRDefault="00357CC8" w:rsidP="00357CC8">
      <w:pPr>
        <w:widowControl w:val="0"/>
        <w:autoSpaceDE w:val="0"/>
        <w:autoSpaceDN w:val="0"/>
        <w:adjustRightInd w:val="0"/>
        <w:spacing w:after="320"/>
        <w:contextualSpacing/>
        <w:rPr>
          <w:rFonts w:cs="Verdana"/>
        </w:rPr>
      </w:pPr>
      <w:proofErr w:type="spellStart"/>
      <w:r w:rsidRPr="00E750EE">
        <w:rPr>
          <w:rFonts w:cs="Verdana"/>
          <w:i/>
          <w:iCs/>
        </w:rPr>
        <w:t>Vig</w:t>
      </w:r>
      <w:proofErr w:type="spellEnd"/>
      <w:r w:rsidRPr="00E750EE">
        <w:rPr>
          <w:rFonts w:cs="Verdana"/>
          <w:i/>
          <w:iCs/>
        </w:rPr>
        <w:t>-Lid (Cradle Song)</w:t>
      </w:r>
      <w:r>
        <w:rPr>
          <w:rFonts w:cs="Verdana"/>
        </w:rPr>
        <w:t xml:space="preserve"> (1950)</w:t>
      </w:r>
    </w:p>
    <w:p w14:paraId="27044754"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Tapestry</w:t>
      </w:r>
      <w:r>
        <w:rPr>
          <w:rFonts w:cs="Verdana"/>
        </w:rPr>
        <w:t xml:space="preserve"> (1956)</w:t>
      </w:r>
    </w:p>
    <w:p w14:paraId="6A31312A"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Visions and Prophecies</w:t>
      </w:r>
      <w:r>
        <w:rPr>
          <w:rFonts w:cs="Verdana"/>
        </w:rPr>
        <w:t xml:space="preserve"> (1956)</w:t>
      </w:r>
      <w:r w:rsidRPr="00E750EE">
        <w:rPr>
          <w:rFonts w:cs="Verdana"/>
        </w:rPr>
        <w:t> </w:t>
      </w:r>
    </w:p>
    <w:p w14:paraId="7C37F551"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The Unanswered Question</w:t>
      </w:r>
      <w:r>
        <w:rPr>
          <w:rFonts w:cs="Verdana"/>
        </w:rPr>
        <w:t xml:space="preserve"> (1961)</w:t>
      </w:r>
    </w:p>
    <w:p w14:paraId="09CB1532"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 xml:space="preserve">Ballads of Our Land </w:t>
      </w:r>
      <w:r>
        <w:rPr>
          <w:rFonts w:cs="Verdana"/>
        </w:rPr>
        <w:t>(1961)</w:t>
      </w:r>
    </w:p>
    <w:p w14:paraId="4EF8E0E0" w14:textId="77777777" w:rsidR="00357CC8" w:rsidRDefault="00357CC8" w:rsidP="00357CC8">
      <w:pPr>
        <w:widowControl w:val="0"/>
        <w:autoSpaceDE w:val="0"/>
        <w:autoSpaceDN w:val="0"/>
        <w:adjustRightInd w:val="0"/>
        <w:spacing w:after="320"/>
        <w:contextualSpacing/>
        <w:rPr>
          <w:rFonts w:cs="Verdana"/>
        </w:rPr>
      </w:pPr>
      <w:r w:rsidRPr="00E750EE">
        <w:rPr>
          <w:rFonts w:cs="Verdana"/>
          <w:i/>
          <w:iCs/>
        </w:rPr>
        <w:t>Ancestral Memories</w:t>
      </w:r>
      <w:r>
        <w:rPr>
          <w:rFonts w:cs="Verdana"/>
        </w:rPr>
        <w:t xml:space="preserve"> (c. 1985)</w:t>
      </w:r>
    </w:p>
    <w:p w14:paraId="3CD7D6AE" w14:textId="77777777" w:rsidR="00357CC8" w:rsidRPr="00DB26B5" w:rsidRDefault="00357CC8" w:rsidP="00357CC8">
      <w:pPr>
        <w:widowControl w:val="0"/>
        <w:autoSpaceDE w:val="0"/>
        <w:autoSpaceDN w:val="0"/>
        <w:adjustRightInd w:val="0"/>
        <w:spacing w:after="320"/>
        <w:contextualSpacing/>
        <w:rPr>
          <w:rFonts w:cs="Verdana"/>
        </w:rPr>
      </w:pPr>
      <w:r w:rsidRPr="00E750EE">
        <w:rPr>
          <w:rFonts w:cs="Verdana"/>
          <w:i/>
          <w:iCs/>
        </w:rPr>
        <w:t>A Legend of Queen Sabbath</w:t>
      </w:r>
      <w:r>
        <w:rPr>
          <w:rFonts w:cs="Verdana"/>
        </w:rPr>
        <w:t xml:space="preserve"> (c. 1985) </w:t>
      </w:r>
    </w:p>
    <w:p w14:paraId="3F539ADE" w14:textId="77777777" w:rsidR="00357CC8" w:rsidRDefault="00357CC8" w:rsidP="00357CC8">
      <w:pPr>
        <w:contextualSpacing/>
        <w:rPr>
          <w:b/>
        </w:rPr>
      </w:pPr>
    </w:p>
    <w:p w14:paraId="28181AB3" w14:textId="43524295" w:rsidR="00357CC8" w:rsidRPr="008C0CCD" w:rsidRDefault="00357CC8" w:rsidP="00357CC8">
      <w:pPr>
        <w:contextualSpacing/>
        <w:rPr>
          <w:b/>
        </w:rPr>
      </w:pPr>
      <w:r w:rsidRPr="000B0FA9">
        <w:rPr>
          <w:b/>
        </w:rPr>
        <w:t>References and Further Reading</w:t>
      </w:r>
    </w:p>
    <w:p w14:paraId="45D131A2" w14:textId="77777777" w:rsidR="008C0CCD" w:rsidRDefault="00357CC8" w:rsidP="00357CC8">
      <w:pPr>
        <w:contextualSpacing/>
      </w:pPr>
      <w:proofErr w:type="spellStart"/>
      <w:r w:rsidRPr="00E750EE">
        <w:t>Boye</w:t>
      </w:r>
      <w:proofErr w:type="spellEnd"/>
      <w:r w:rsidRPr="00E750EE">
        <w:t>, S. (2005) ‘</w:t>
      </w:r>
      <w:proofErr w:type="spellStart"/>
      <w:r w:rsidRPr="00E750EE">
        <w:t>Saida</w:t>
      </w:r>
      <w:proofErr w:type="spellEnd"/>
      <w:r w:rsidRPr="00E750EE">
        <w:t xml:space="preserve"> </w:t>
      </w:r>
      <w:proofErr w:type="spellStart"/>
      <w:r w:rsidRPr="00E750EE">
        <w:t>Gerrard</w:t>
      </w:r>
      <w:proofErr w:type="spellEnd"/>
      <w:r>
        <w:t xml:space="preserve"> 1913-2005: A time and a place’</w:t>
      </w:r>
      <w:r w:rsidRPr="00E750EE">
        <w:t xml:space="preserve">, </w:t>
      </w:r>
      <w:r w:rsidRPr="00E750EE">
        <w:rPr>
          <w:i/>
        </w:rPr>
        <w:t xml:space="preserve">Dance Collection </w:t>
      </w:r>
      <w:proofErr w:type="spellStart"/>
      <w:r w:rsidRPr="00E750EE">
        <w:rPr>
          <w:i/>
        </w:rPr>
        <w:t>Danse</w:t>
      </w:r>
      <w:proofErr w:type="spellEnd"/>
      <w:r w:rsidRPr="00E750EE">
        <w:rPr>
          <w:i/>
        </w:rPr>
        <w:t xml:space="preserve"> Magazine </w:t>
      </w:r>
      <w:r w:rsidRPr="00E750EE">
        <w:t xml:space="preserve">60: 26-28. </w:t>
      </w:r>
    </w:p>
    <w:p w14:paraId="05DF779D" w14:textId="77777777" w:rsidR="00357CC8" w:rsidRDefault="00357CC8" w:rsidP="00357CC8">
      <w:pPr>
        <w:contextualSpacing/>
      </w:pPr>
    </w:p>
    <w:p w14:paraId="68FC683F" w14:textId="59373EC4" w:rsidR="00357CC8" w:rsidRPr="00E750EE" w:rsidRDefault="00357CC8" w:rsidP="00357CC8">
      <w:pPr>
        <w:contextualSpacing/>
      </w:pPr>
      <w:r w:rsidRPr="00E750EE">
        <w:t>Odom, S. (2004) ‘Music and Movement: T</w:t>
      </w:r>
      <w:r>
        <w:t>he Overlapping Careers of Madele</w:t>
      </w:r>
      <w:r w:rsidRPr="00E750EE">
        <w:t>ine B</w:t>
      </w:r>
      <w:r>
        <w:t xml:space="preserve">oss </w:t>
      </w:r>
      <w:proofErr w:type="spellStart"/>
      <w:r>
        <w:t>Lasserre</w:t>
      </w:r>
      <w:proofErr w:type="spellEnd"/>
      <w:r>
        <w:t xml:space="preserve"> and </w:t>
      </w:r>
      <w:proofErr w:type="spellStart"/>
      <w:r>
        <w:t>Saida</w:t>
      </w:r>
      <w:proofErr w:type="spellEnd"/>
      <w:r>
        <w:t xml:space="preserve"> </w:t>
      </w:r>
      <w:proofErr w:type="spellStart"/>
      <w:r>
        <w:t>Gerrard</w:t>
      </w:r>
      <w:proofErr w:type="spellEnd"/>
      <w:r>
        <w:t>’</w:t>
      </w:r>
      <w:r w:rsidRPr="00E750EE">
        <w:t xml:space="preserve">, </w:t>
      </w:r>
      <w:r w:rsidRPr="00E750EE">
        <w:rPr>
          <w:i/>
        </w:rPr>
        <w:t>Canadian Dance: Visions and Stories</w:t>
      </w:r>
      <w:r w:rsidRPr="00E750EE">
        <w:t xml:space="preserve">: 95-106. </w:t>
      </w:r>
    </w:p>
    <w:p w14:paraId="36382B27" w14:textId="77777777" w:rsidR="00357CC8" w:rsidRDefault="00357CC8" w:rsidP="00357CC8">
      <w:pPr>
        <w:contextualSpacing/>
      </w:pPr>
    </w:p>
    <w:p w14:paraId="23DC5115" w14:textId="26541FD5" w:rsidR="00357CC8" w:rsidRDefault="00357CC8" w:rsidP="00357CC8">
      <w:pPr>
        <w:contextualSpacing/>
      </w:pPr>
      <w:r>
        <w:t xml:space="preserve">----- </w:t>
      </w:r>
      <w:r w:rsidR="008C0CCD">
        <w:t>(2000) ‘</w:t>
      </w:r>
      <w:proofErr w:type="spellStart"/>
      <w:r w:rsidR="008C0CCD">
        <w:t>Saida</w:t>
      </w:r>
      <w:proofErr w:type="spellEnd"/>
      <w:r w:rsidR="008C0CCD">
        <w:t xml:space="preserve"> </w:t>
      </w:r>
      <w:proofErr w:type="spellStart"/>
      <w:r w:rsidR="008C0CCD">
        <w:t>Gerrard</w:t>
      </w:r>
      <w:proofErr w:type="spellEnd"/>
      <w:r w:rsidR="008C0CCD">
        <w:t>’</w:t>
      </w:r>
      <w:r w:rsidRPr="00E750EE">
        <w:t xml:space="preserve">, </w:t>
      </w:r>
      <w:r w:rsidRPr="00E750EE">
        <w:rPr>
          <w:i/>
        </w:rPr>
        <w:t>The Encyclopedia of Theatre Dance in Canada/</w:t>
      </w:r>
      <w:proofErr w:type="spellStart"/>
      <w:r w:rsidRPr="00E750EE">
        <w:rPr>
          <w:i/>
        </w:rPr>
        <w:t>Encyclopédie</w:t>
      </w:r>
      <w:proofErr w:type="spellEnd"/>
      <w:r w:rsidRPr="00E750EE">
        <w:rPr>
          <w:i/>
        </w:rPr>
        <w:t xml:space="preserve"> de la </w:t>
      </w:r>
      <w:proofErr w:type="spellStart"/>
      <w:r w:rsidRPr="00E750EE">
        <w:rPr>
          <w:i/>
        </w:rPr>
        <w:t>danse</w:t>
      </w:r>
      <w:proofErr w:type="spellEnd"/>
      <w:r w:rsidRPr="00E750EE">
        <w:rPr>
          <w:i/>
        </w:rPr>
        <w:t xml:space="preserve"> </w:t>
      </w:r>
      <w:proofErr w:type="spellStart"/>
      <w:r w:rsidRPr="00E750EE">
        <w:rPr>
          <w:i/>
        </w:rPr>
        <w:t>théâtricale</w:t>
      </w:r>
      <w:proofErr w:type="spellEnd"/>
      <w:r w:rsidRPr="00E750EE">
        <w:rPr>
          <w:i/>
        </w:rPr>
        <w:t xml:space="preserve"> au Canada</w:t>
      </w:r>
      <w:r>
        <w:t xml:space="preserve">: 222-224. </w:t>
      </w:r>
    </w:p>
    <w:p w14:paraId="561F6B45" w14:textId="77777777" w:rsidR="00357CC8" w:rsidRDefault="00357CC8" w:rsidP="00357CC8">
      <w:pPr>
        <w:contextualSpacing/>
      </w:pPr>
    </w:p>
    <w:p w14:paraId="0E630B57" w14:textId="77777777" w:rsidR="00357CC8" w:rsidRPr="006E7583" w:rsidRDefault="00357CC8" w:rsidP="00357CC8">
      <w:pPr>
        <w:widowControl w:val="0"/>
        <w:autoSpaceDE w:val="0"/>
        <w:autoSpaceDN w:val="0"/>
        <w:adjustRightInd w:val="0"/>
        <w:spacing w:after="320"/>
        <w:contextualSpacing/>
      </w:pPr>
      <w:r>
        <w:t xml:space="preserve">“Pages in History: </w:t>
      </w:r>
      <w:proofErr w:type="spellStart"/>
      <w:r>
        <w:t>Saida</w:t>
      </w:r>
      <w:proofErr w:type="spellEnd"/>
      <w:r>
        <w:t xml:space="preserve"> </w:t>
      </w:r>
      <w:proofErr w:type="spellStart"/>
      <w:r>
        <w:t>Gerrard</w:t>
      </w:r>
      <w:proofErr w:type="spellEnd"/>
      <w:r>
        <w:t xml:space="preserve">,” Dance Collection </w:t>
      </w:r>
      <w:proofErr w:type="spellStart"/>
      <w:r>
        <w:t>Danse</w:t>
      </w:r>
      <w:proofErr w:type="spellEnd"/>
      <w:r>
        <w:t xml:space="preserve"> Archives Press/</w:t>
      </w:r>
      <w:proofErr w:type="spellStart"/>
      <w:r>
        <w:t>es</w:t>
      </w:r>
      <w:proofErr w:type="spellEnd"/>
      <w:r>
        <w:t xml:space="preserve">, accessed January 22, 2012, </w:t>
      </w:r>
      <w:r w:rsidRPr="006E7583">
        <w:t>http://www.dcd.ca/pih/saidagerrard.html</w:t>
      </w:r>
      <w:r>
        <w:t>.</w:t>
      </w:r>
    </w:p>
    <w:p w14:paraId="08B6B0D8" w14:textId="77777777" w:rsidR="00357CC8" w:rsidRPr="00E750EE" w:rsidRDefault="00357CC8" w:rsidP="00357CC8">
      <w:pPr>
        <w:contextualSpacing/>
      </w:pPr>
    </w:p>
    <w:p w14:paraId="3592AEC3" w14:textId="0455F351" w:rsidR="00357CC8" w:rsidRPr="008C0CCD" w:rsidRDefault="00357CC8" w:rsidP="00357CC8">
      <w:pPr>
        <w:contextualSpacing/>
        <w:rPr>
          <w:b/>
        </w:rPr>
      </w:pPr>
      <w:r w:rsidRPr="00DB7848">
        <w:rPr>
          <w:b/>
        </w:rPr>
        <w:t>Live Links</w:t>
      </w:r>
    </w:p>
    <w:p w14:paraId="57475198" w14:textId="77777777" w:rsidR="00357CC8" w:rsidRPr="00E750EE" w:rsidRDefault="00357CC8" w:rsidP="00357CC8">
      <w:pPr>
        <w:contextualSpacing/>
      </w:pPr>
      <w:r w:rsidRPr="00FF1EBF">
        <w:t>http://www.dcd.ca/pih/saidagerrard.html</w:t>
      </w:r>
    </w:p>
    <w:p w14:paraId="66121D7E" w14:textId="77777777" w:rsidR="00357CC8" w:rsidRDefault="00357CC8" w:rsidP="00357CC8">
      <w:pPr>
        <w:contextualSpacing/>
      </w:pPr>
    </w:p>
    <w:p w14:paraId="60024C7A" w14:textId="77777777" w:rsidR="00357CC8" w:rsidRPr="00595E04" w:rsidRDefault="00357CC8" w:rsidP="00357CC8">
      <w:pPr>
        <w:contextualSpacing/>
        <w:rPr>
          <w:i/>
        </w:rPr>
      </w:pPr>
      <w:r w:rsidRPr="00595E04">
        <w:rPr>
          <w:i/>
        </w:rPr>
        <w:t xml:space="preserve">Note: Further images are available through Dance Collection </w:t>
      </w:r>
      <w:proofErr w:type="spellStart"/>
      <w:r w:rsidRPr="00595E04">
        <w:rPr>
          <w:i/>
        </w:rPr>
        <w:t>Danse</w:t>
      </w:r>
      <w:proofErr w:type="spellEnd"/>
      <w:r w:rsidRPr="00595E04">
        <w:rPr>
          <w:i/>
        </w:rPr>
        <w:t xml:space="preserve"> Press/</w:t>
      </w:r>
      <w:proofErr w:type="spellStart"/>
      <w:r w:rsidRPr="00595E04">
        <w:rPr>
          <w:i/>
        </w:rPr>
        <w:t>es</w:t>
      </w:r>
      <w:proofErr w:type="spellEnd"/>
      <w:r w:rsidRPr="00595E04">
        <w:rPr>
          <w:i/>
        </w:rPr>
        <w:t xml:space="preserve"> for the cost of $10 per image. </w:t>
      </w:r>
    </w:p>
    <w:p w14:paraId="533CDF20" w14:textId="77777777" w:rsidR="00357CC8" w:rsidRPr="00E750EE" w:rsidRDefault="00357CC8" w:rsidP="00357CC8">
      <w:pPr>
        <w:contextualSpacing/>
      </w:pPr>
    </w:p>
    <w:sectPr w:rsidR="00357CC8" w:rsidRPr="00E750EE" w:rsidSect="00357CC8">
      <w:pgSz w:w="12240" w:h="15840"/>
      <w:pgMar w:top="1440" w:right="1440" w:bottom="1440" w:left="1440" w:header="706" w:footer="706"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4B254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BD4B45"/>
    <w:multiLevelType w:val="hybridMultilevel"/>
    <w:tmpl w:val="B016E7C0"/>
    <w:lvl w:ilvl="0" w:tplc="D7209CC4">
      <w:numFmt w:val="bullet"/>
      <w:lvlText w:val=""/>
      <w:lvlJc w:val="left"/>
      <w:pPr>
        <w:ind w:left="720" w:hanging="360"/>
      </w:pPr>
      <w:rPr>
        <w:rFonts w:ascii="Wingdings" w:eastAsia="Cambria" w:hAnsi="Wingdings"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3A7"/>
    <w:rsid w:val="00063573"/>
    <w:rsid w:val="00094B58"/>
    <w:rsid w:val="000B7A9B"/>
    <w:rsid w:val="00152624"/>
    <w:rsid w:val="001643A7"/>
    <w:rsid w:val="002E39AA"/>
    <w:rsid w:val="00357CC8"/>
    <w:rsid w:val="00583317"/>
    <w:rsid w:val="006E0110"/>
    <w:rsid w:val="006F49DD"/>
    <w:rsid w:val="008C0CCD"/>
    <w:rsid w:val="00922B86"/>
    <w:rsid w:val="00A12783"/>
    <w:rsid w:val="00B239A0"/>
    <w:rsid w:val="00C504CA"/>
    <w:rsid w:val="00D41354"/>
    <w:rsid w:val="00DB6819"/>
    <w:rsid w:val="00F1261D"/>
  </w:rsids>
  <m:mathPr>
    <m:mathFont m:val="Cambria Math"/>
    <m:brkBin m:val="before"/>
    <m:brkBinSub m:val="--"/>
    <m:smallFrac m:val="0"/>
    <m:dispDef m:val="0"/>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8037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70"/>
    <w:pPr>
      <w:spacing w:after="20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872B1"/>
    <w:rPr>
      <w:sz w:val="18"/>
      <w:szCs w:val="18"/>
    </w:rPr>
  </w:style>
  <w:style w:type="paragraph" w:styleId="CommentText">
    <w:name w:val="annotation text"/>
    <w:basedOn w:val="Normal"/>
    <w:link w:val="CommentTextChar"/>
    <w:uiPriority w:val="99"/>
    <w:semiHidden/>
    <w:unhideWhenUsed/>
    <w:rsid w:val="003872B1"/>
    <w:rPr>
      <w:lang w:val="x-none" w:eastAsia="x-none"/>
    </w:rPr>
  </w:style>
  <w:style w:type="character" w:customStyle="1" w:styleId="CommentTextChar">
    <w:name w:val="Comment Text Char"/>
    <w:link w:val="CommentText"/>
    <w:uiPriority w:val="99"/>
    <w:semiHidden/>
    <w:rsid w:val="003872B1"/>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872B1"/>
    <w:rPr>
      <w:b/>
      <w:bCs/>
    </w:rPr>
  </w:style>
  <w:style w:type="character" w:customStyle="1" w:styleId="CommentSubjectChar">
    <w:name w:val="Comment Subject Char"/>
    <w:link w:val="CommentSubject"/>
    <w:uiPriority w:val="99"/>
    <w:semiHidden/>
    <w:rsid w:val="003872B1"/>
    <w:rPr>
      <w:rFonts w:ascii="Times New Roman" w:hAnsi="Times New Roman"/>
      <w:b/>
      <w:bCs/>
      <w:sz w:val="24"/>
      <w:szCs w:val="24"/>
    </w:rPr>
  </w:style>
  <w:style w:type="paragraph" w:styleId="BalloonText">
    <w:name w:val="Balloon Text"/>
    <w:basedOn w:val="Normal"/>
    <w:link w:val="BalloonTextChar"/>
    <w:uiPriority w:val="99"/>
    <w:semiHidden/>
    <w:unhideWhenUsed/>
    <w:rsid w:val="003872B1"/>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3872B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70"/>
    <w:pPr>
      <w:spacing w:after="200"/>
    </w:pPr>
    <w:rPr>
      <w:rFonts w:ascii="Times New Roman" w:hAnsi="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872B1"/>
    <w:rPr>
      <w:sz w:val="18"/>
      <w:szCs w:val="18"/>
    </w:rPr>
  </w:style>
  <w:style w:type="paragraph" w:styleId="CommentText">
    <w:name w:val="annotation text"/>
    <w:basedOn w:val="Normal"/>
    <w:link w:val="CommentTextChar"/>
    <w:uiPriority w:val="99"/>
    <w:semiHidden/>
    <w:unhideWhenUsed/>
    <w:rsid w:val="003872B1"/>
    <w:rPr>
      <w:lang w:val="x-none" w:eastAsia="x-none"/>
    </w:rPr>
  </w:style>
  <w:style w:type="character" w:customStyle="1" w:styleId="CommentTextChar">
    <w:name w:val="Comment Text Char"/>
    <w:link w:val="CommentText"/>
    <w:uiPriority w:val="99"/>
    <w:semiHidden/>
    <w:rsid w:val="003872B1"/>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3872B1"/>
    <w:rPr>
      <w:b/>
      <w:bCs/>
    </w:rPr>
  </w:style>
  <w:style w:type="character" w:customStyle="1" w:styleId="CommentSubjectChar">
    <w:name w:val="Comment Subject Char"/>
    <w:link w:val="CommentSubject"/>
    <w:uiPriority w:val="99"/>
    <w:semiHidden/>
    <w:rsid w:val="003872B1"/>
    <w:rPr>
      <w:rFonts w:ascii="Times New Roman" w:hAnsi="Times New Roman"/>
      <w:b/>
      <w:bCs/>
      <w:sz w:val="24"/>
      <w:szCs w:val="24"/>
    </w:rPr>
  </w:style>
  <w:style w:type="paragraph" w:styleId="BalloonText">
    <w:name w:val="Balloon Text"/>
    <w:basedOn w:val="Normal"/>
    <w:link w:val="BalloonTextChar"/>
    <w:uiPriority w:val="99"/>
    <w:semiHidden/>
    <w:unhideWhenUsed/>
    <w:rsid w:val="003872B1"/>
    <w:pPr>
      <w:spacing w:after="0"/>
    </w:pPr>
    <w:rPr>
      <w:rFonts w:ascii="Lucida Grande" w:hAnsi="Lucida Grande"/>
      <w:sz w:val="18"/>
      <w:szCs w:val="18"/>
      <w:lang w:val="x-none" w:eastAsia="x-none"/>
    </w:rPr>
  </w:style>
  <w:style w:type="character" w:customStyle="1" w:styleId="BalloonTextChar">
    <w:name w:val="Balloon Text Char"/>
    <w:link w:val="BalloonText"/>
    <w:uiPriority w:val="99"/>
    <w:semiHidden/>
    <w:rsid w:val="003872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1001</Words>
  <Characters>5708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Boye Co.</Company>
  <LinksUpToDate>false</LinksUpToDate>
  <CharactersWithSpaces>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Seika Boye</dc:creator>
  <cp:keywords/>
  <cp:lastModifiedBy>Editorial Comments</cp:lastModifiedBy>
  <cp:revision>13</cp:revision>
  <cp:lastPrinted>2013-01-25T09:34:00Z</cp:lastPrinted>
  <dcterms:created xsi:type="dcterms:W3CDTF">2015-06-04T16:10:00Z</dcterms:created>
  <dcterms:modified xsi:type="dcterms:W3CDTF">2015-06-04T16:21:00Z</dcterms:modified>
</cp:coreProperties>
</file>