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C65E9A" w:rsidRPr="00C65E9A" w:rsidTr="00C65E9A">
        <w:tc>
          <w:tcPr>
            <w:tcW w:w="491" w:type="dxa"/>
            <w:vMerge w:val="restart"/>
            <w:shd w:val="clear" w:color="auto" w:fill="A6A6A6"/>
            <w:textDirection w:val="btLr"/>
          </w:tcPr>
          <w:p w:rsidR="00B574C9" w:rsidRPr="00C65E9A" w:rsidRDefault="00B574C9" w:rsidP="00C65E9A">
            <w:pPr>
              <w:spacing w:after="0" w:line="240" w:lineRule="auto"/>
              <w:jc w:val="center"/>
              <w:rPr>
                <w:b/>
                <w:color w:val="FFFFFF"/>
              </w:rPr>
            </w:pPr>
            <w:r w:rsidRPr="00C65E9A">
              <w:rPr>
                <w:b/>
                <w:color w:val="FFFFFF"/>
              </w:rPr>
              <w:t>About you</w:t>
            </w:r>
          </w:p>
        </w:tc>
        <w:tc>
          <w:tcPr>
            <w:tcW w:w="1259" w:type="dxa"/>
            <w:shd w:val="clear" w:color="auto" w:fill="auto"/>
          </w:tcPr>
          <w:p w:rsidR="00B574C9" w:rsidRPr="00C65E9A" w:rsidRDefault="00B574C9" w:rsidP="00C65E9A">
            <w:pPr>
              <w:spacing w:after="0" w:line="240" w:lineRule="auto"/>
              <w:jc w:val="center"/>
              <w:rPr>
                <w:b/>
                <w:color w:val="FFFFFF"/>
              </w:rPr>
            </w:pPr>
            <w:r w:rsidRPr="00C65E9A">
              <w:rPr>
                <w:rStyle w:val="PlaceholderText"/>
                <w:b/>
                <w:color w:val="FFFFFF"/>
              </w:rPr>
              <w:t>[Salutation]</w:t>
            </w:r>
          </w:p>
        </w:tc>
        <w:tc>
          <w:tcPr>
            <w:tcW w:w="2073" w:type="dxa"/>
            <w:shd w:val="clear" w:color="auto" w:fill="auto"/>
          </w:tcPr>
          <w:p w:rsidR="00B574C9" w:rsidRPr="00C65E9A" w:rsidRDefault="00E10D76" w:rsidP="00C65E9A">
            <w:pPr>
              <w:spacing w:after="0" w:line="240" w:lineRule="auto"/>
            </w:pPr>
            <w:r>
              <w:rPr>
                <w:rStyle w:val="PlaceholderText"/>
              </w:rPr>
              <w:t>Debra</w:t>
            </w:r>
          </w:p>
        </w:tc>
        <w:tc>
          <w:tcPr>
            <w:tcW w:w="2551" w:type="dxa"/>
            <w:shd w:val="clear" w:color="auto" w:fill="auto"/>
          </w:tcPr>
          <w:p w:rsidR="00B574C9" w:rsidRPr="00C65E9A" w:rsidRDefault="00B574C9" w:rsidP="00C65E9A">
            <w:pPr>
              <w:spacing w:after="0" w:line="240" w:lineRule="auto"/>
            </w:pPr>
            <w:r w:rsidRPr="00C65E9A">
              <w:rPr>
                <w:rStyle w:val="PlaceholderText"/>
              </w:rPr>
              <w:t>[Middle name]</w:t>
            </w:r>
          </w:p>
        </w:tc>
        <w:tc>
          <w:tcPr>
            <w:tcW w:w="2642" w:type="dxa"/>
            <w:shd w:val="clear" w:color="auto" w:fill="auto"/>
          </w:tcPr>
          <w:p w:rsidR="00B574C9" w:rsidRPr="00C65E9A" w:rsidRDefault="00E10D76" w:rsidP="00C65E9A">
            <w:pPr>
              <w:spacing w:after="0" w:line="240" w:lineRule="auto"/>
            </w:pPr>
            <w:r>
              <w:rPr>
                <w:rStyle w:val="PlaceholderText"/>
              </w:rPr>
              <w:t>Moddelmog</w:t>
            </w:r>
          </w:p>
        </w:tc>
      </w:tr>
      <w:tr w:rsidR="00C65E9A" w:rsidRPr="00C65E9A" w:rsidTr="00C65E9A">
        <w:trPr>
          <w:trHeight w:val="986"/>
        </w:trPr>
        <w:tc>
          <w:tcPr>
            <w:tcW w:w="491" w:type="dxa"/>
            <w:vMerge/>
            <w:shd w:val="clear" w:color="auto" w:fill="A6A6A6"/>
          </w:tcPr>
          <w:p w:rsidR="00B574C9" w:rsidRPr="00C65E9A" w:rsidRDefault="00B574C9" w:rsidP="00C65E9A">
            <w:pPr>
              <w:spacing w:after="0" w:line="240" w:lineRule="auto"/>
              <w:jc w:val="center"/>
              <w:rPr>
                <w:b/>
                <w:color w:val="FFFFFF"/>
              </w:rPr>
            </w:pPr>
          </w:p>
        </w:tc>
        <w:tc>
          <w:tcPr>
            <w:tcW w:w="8525" w:type="dxa"/>
            <w:gridSpan w:val="4"/>
            <w:shd w:val="clear" w:color="auto" w:fill="auto"/>
          </w:tcPr>
          <w:p w:rsidR="00B574C9" w:rsidRPr="00C65E9A" w:rsidRDefault="00B574C9" w:rsidP="00C65E9A">
            <w:pPr>
              <w:spacing w:after="0" w:line="240" w:lineRule="auto"/>
            </w:pPr>
            <w:r w:rsidRPr="00C65E9A">
              <w:rPr>
                <w:rStyle w:val="PlaceholderText"/>
              </w:rPr>
              <w:t>[Enter your biography]</w:t>
            </w:r>
          </w:p>
        </w:tc>
      </w:tr>
      <w:tr w:rsidR="00C65E9A" w:rsidRPr="00C65E9A" w:rsidTr="00C65E9A">
        <w:trPr>
          <w:trHeight w:val="986"/>
        </w:trPr>
        <w:tc>
          <w:tcPr>
            <w:tcW w:w="491" w:type="dxa"/>
            <w:vMerge/>
            <w:shd w:val="clear" w:color="auto" w:fill="A6A6A6"/>
          </w:tcPr>
          <w:p w:rsidR="00B574C9" w:rsidRPr="00C65E9A" w:rsidRDefault="00B574C9" w:rsidP="00C65E9A">
            <w:pPr>
              <w:spacing w:after="0" w:line="240" w:lineRule="auto"/>
              <w:jc w:val="center"/>
              <w:rPr>
                <w:b/>
                <w:color w:val="FFFFFF"/>
              </w:rPr>
            </w:pPr>
          </w:p>
        </w:tc>
        <w:tc>
          <w:tcPr>
            <w:tcW w:w="8525" w:type="dxa"/>
            <w:gridSpan w:val="4"/>
            <w:shd w:val="clear" w:color="auto" w:fill="auto"/>
          </w:tcPr>
          <w:p w:rsidR="00B574C9" w:rsidRPr="00C65E9A" w:rsidRDefault="00E10D76" w:rsidP="00C65E9A">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65E9A" w:rsidRPr="00C65E9A" w:rsidTr="00C65E9A">
        <w:tc>
          <w:tcPr>
            <w:tcW w:w="9016" w:type="dxa"/>
            <w:shd w:val="clear" w:color="auto" w:fill="A6A6A6"/>
            <w:tcMar>
              <w:top w:w="113" w:type="dxa"/>
              <w:bottom w:w="113" w:type="dxa"/>
            </w:tcMar>
          </w:tcPr>
          <w:p w:rsidR="00244BB0" w:rsidRPr="00C65E9A" w:rsidRDefault="00244BB0" w:rsidP="00C65E9A">
            <w:pPr>
              <w:spacing w:after="0" w:line="240" w:lineRule="auto"/>
              <w:jc w:val="center"/>
              <w:rPr>
                <w:b/>
                <w:color w:val="FFFFFF"/>
              </w:rPr>
            </w:pPr>
            <w:r w:rsidRPr="00C65E9A">
              <w:rPr>
                <w:b/>
                <w:color w:val="FFFFFF"/>
              </w:rPr>
              <w:t>Your article</w:t>
            </w:r>
          </w:p>
        </w:tc>
      </w:tr>
      <w:tr w:rsidR="003F0D73" w:rsidRPr="00C65E9A" w:rsidTr="00C65E9A">
        <w:tc>
          <w:tcPr>
            <w:tcW w:w="9016" w:type="dxa"/>
            <w:shd w:val="clear" w:color="auto" w:fill="auto"/>
            <w:tcMar>
              <w:top w:w="113" w:type="dxa"/>
              <w:bottom w:w="113" w:type="dxa"/>
            </w:tcMar>
          </w:tcPr>
          <w:p w:rsidR="003F0D73" w:rsidRPr="00C65E9A" w:rsidRDefault="00E10D76" w:rsidP="00C65E9A">
            <w:pPr>
              <w:spacing w:after="0" w:line="240" w:lineRule="auto"/>
              <w:rPr>
                <w:b/>
              </w:rPr>
            </w:pPr>
            <w:r w:rsidRPr="008269F2">
              <w:rPr>
                <w:rFonts w:ascii="Times New Roman" w:hAnsi="Times New Roman"/>
                <w:b/>
                <w:sz w:val="24"/>
                <w:szCs w:val="27"/>
              </w:rPr>
              <w:t>Ernest Hemingway</w:t>
            </w:r>
          </w:p>
        </w:tc>
      </w:tr>
      <w:tr w:rsidR="00464699" w:rsidRPr="00C65E9A" w:rsidTr="00C65E9A">
        <w:tc>
          <w:tcPr>
            <w:tcW w:w="9016" w:type="dxa"/>
            <w:shd w:val="clear" w:color="auto" w:fill="auto"/>
            <w:tcMar>
              <w:top w:w="113" w:type="dxa"/>
              <w:bottom w:w="113" w:type="dxa"/>
            </w:tcMar>
          </w:tcPr>
          <w:p w:rsidR="00464699" w:rsidRPr="00C65E9A" w:rsidRDefault="00464699" w:rsidP="00C65E9A">
            <w:pPr>
              <w:spacing w:after="0" w:line="240" w:lineRule="auto"/>
            </w:pPr>
            <w:r w:rsidRPr="00C65E9A">
              <w:rPr>
                <w:rStyle w:val="PlaceholderText"/>
                <w:b/>
              </w:rPr>
              <w:t xml:space="preserve">[Enter any </w:t>
            </w:r>
            <w:r w:rsidRPr="00C65E9A">
              <w:rPr>
                <w:rStyle w:val="PlaceholderText"/>
                <w:b/>
                <w:i/>
              </w:rPr>
              <w:t>variant forms</w:t>
            </w:r>
            <w:r w:rsidRPr="00C65E9A">
              <w:rPr>
                <w:rStyle w:val="PlaceholderText"/>
                <w:b/>
              </w:rPr>
              <w:t xml:space="preserve"> of your headword – OPTIONAL]</w:t>
            </w:r>
          </w:p>
        </w:tc>
      </w:tr>
      <w:tr w:rsidR="00E85A05" w:rsidRPr="00C65E9A" w:rsidTr="00C65E9A">
        <w:tc>
          <w:tcPr>
            <w:tcW w:w="9016" w:type="dxa"/>
            <w:shd w:val="clear" w:color="auto" w:fill="auto"/>
            <w:tcMar>
              <w:top w:w="113" w:type="dxa"/>
              <w:bottom w:w="113" w:type="dxa"/>
            </w:tcMar>
          </w:tcPr>
          <w:p w:rsidR="00E85A05" w:rsidRPr="00C65E9A" w:rsidRDefault="00E10D76" w:rsidP="00C65E9A">
            <w:pPr>
              <w:spacing w:after="0" w:line="240" w:lineRule="auto"/>
            </w:pPr>
            <w:r w:rsidRPr="008269F2">
              <w:rPr>
                <w:rFonts w:ascii="Times New Roman" w:hAnsi="Times New Roman"/>
                <w:sz w:val="24"/>
                <w:szCs w:val="27"/>
              </w:rPr>
              <w:t>Ernest Hemingway (1899-1961) was an American writer who burst onto the modernist literary scene in Paris during the 1920s and subsequently became one of the most famous authors of the twentieth century. He developed a minimalist style characterized by an emotionally detached point of view, understated irony, the omission of key information from the story’s telling, and the conveyance of psychological states through exterior details. Although this style was frequently imitated and parodied, Hemingway actually experimented with style and narrative form throughout his career, for example using more complex sentence structures and forms (such as his unfinished land-sea-air trilogy) in his later work.</w:t>
            </w:r>
          </w:p>
        </w:tc>
      </w:tr>
      <w:tr w:rsidR="003F0D73" w:rsidRPr="00C65E9A" w:rsidTr="00C65E9A">
        <w:tc>
          <w:tcPr>
            <w:tcW w:w="9016" w:type="dxa"/>
            <w:shd w:val="clear" w:color="auto" w:fill="auto"/>
            <w:tcMar>
              <w:top w:w="113" w:type="dxa"/>
              <w:bottom w:w="113" w:type="dxa"/>
            </w:tcMar>
          </w:tcPr>
          <w:p w:rsidR="002975A0" w:rsidRPr="008269F2" w:rsidRDefault="002975A0" w:rsidP="002975A0">
            <w:pPr>
              <w:spacing w:after="0"/>
              <w:rPr>
                <w:rFonts w:ascii="Times New Roman" w:hAnsi="Times New Roman"/>
                <w:sz w:val="24"/>
                <w:szCs w:val="27"/>
              </w:rPr>
            </w:pPr>
            <w:r w:rsidRPr="008269F2">
              <w:rPr>
                <w:rFonts w:ascii="Times New Roman" w:hAnsi="Times New Roman"/>
                <w:sz w:val="24"/>
                <w:szCs w:val="27"/>
              </w:rPr>
              <w:t xml:space="preserve">Ernest Hemingway (1899-1961) was an American writer who burst onto the modernist literary scene in Paris during the 1920s and subsequently became one of the most famous authors of the twentieth century. He developed a minimalist style characterized by an emotionally detached point of view, understated irony, the omission of key information from the story’s telling, and the conveyance of psychological states through exterior details. Although this style was frequently imitated and parodied, Hemingway actually experimented with style and narrative form throughout his career, for example using more complex sentence structures and forms (such as his unfinished land-sea-air trilogy) in his later work. In 1954, he received the Nobel Prize in Literature </w:t>
            </w:r>
            <w:r>
              <w:rPr>
                <w:rFonts w:ascii="Times New Roman" w:hAnsi="Times New Roman"/>
                <w:sz w:val="24"/>
                <w:szCs w:val="27"/>
              </w:rPr>
              <w:t>for his ‘</w:t>
            </w:r>
            <w:r w:rsidRPr="008269F2">
              <w:rPr>
                <w:rFonts w:ascii="Times New Roman" w:hAnsi="Times New Roman"/>
                <w:sz w:val="24"/>
                <w:szCs w:val="27"/>
              </w:rPr>
              <w:t>mastery of the art of narrative</w:t>
            </w:r>
            <w:r>
              <w:rPr>
                <w:rFonts w:ascii="Times New Roman" w:hAnsi="Times New Roman"/>
                <w:sz w:val="24"/>
                <w:szCs w:val="27"/>
              </w:rPr>
              <w:t>’</w:t>
            </w:r>
            <w:r w:rsidRPr="008269F2">
              <w:rPr>
                <w:rFonts w:ascii="Times New Roman" w:hAnsi="Times New Roman"/>
                <w:sz w:val="24"/>
                <w:szCs w:val="27"/>
              </w:rPr>
              <w:t xml:space="preserve">. He wrote poetry, drama, fiction, and nonfiction, but his most successful work was in fiction. </w:t>
            </w:r>
            <w:r>
              <w:rPr>
                <w:rFonts w:ascii="Times New Roman" w:hAnsi="Times New Roman"/>
                <w:sz w:val="24"/>
                <w:szCs w:val="27"/>
              </w:rPr>
              <w:t>The Hemingway ‘code hero’</w:t>
            </w:r>
            <w:r w:rsidRPr="008269F2">
              <w:rPr>
                <w:rFonts w:ascii="Times New Roman" w:hAnsi="Times New Roman"/>
                <w:sz w:val="24"/>
                <w:szCs w:val="27"/>
              </w:rPr>
              <w:t>—the man who shows grace under pressure in dangerous situations such as war, bullfighting, or big game hunting—is a formula often applied to his work, but with the benefit of posthumous publications and archives, critics have recognized the vulnerabilities of his male protagonists, the strengths of his female characters, and his life-long interest in taboo or controversial topics such as homosexuality, incest, gender inversion, fetishism, and miscegenation. Following a series of serious injuries and health problems, Hemingway committed suicide in 1961.</w:t>
            </w:r>
          </w:p>
          <w:p w:rsidR="002975A0" w:rsidRPr="008269F2" w:rsidRDefault="002975A0" w:rsidP="002975A0">
            <w:pPr>
              <w:spacing w:after="0"/>
              <w:rPr>
                <w:sz w:val="20"/>
              </w:rPr>
            </w:pPr>
            <w:r w:rsidRPr="008269F2">
              <w:rPr>
                <w:sz w:val="20"/>
              </w:rPr>
              <w:t xml:space="preserve"> </w:t>
            </w:r>
          </w:p>
          <w:p w:rsidR="002975A0" w:rsidRPr="008269F2" w:rsidRDefault="002975A0" w:rsidP="002975A0">
            <w:pPr>
              <w:rPr>
                <w:rFonts w:ascii="Times New Roman" w:hAnsi="Times New Roman"/>
                <w:sz w:val="24"/>
                <w:szCs w:val="27"/>
              </w:rPr>
            </w:pPr>
            <w:r w:rsidRPr="008269F2">
              <w:rPr>
                <w:rFonts w:ascii="Times New Roman" w:hAnsi="Times New Roman"/>
                <w:sz w:val="24"/>
                <w:szCs w:val="27"/>
              </w:rPr>
              <w:t xml:space="preserve">Hemingway was born in Oak Park, Illinois, a suburb of Chicago, and spent the summers of his youth with his family in northern Michigan where he became an enthusiast of outdoor activities such as hunting, fishing, and hiking. His earliest stories, formulaic genre fiction, were published in his high school’s yearbook </w:t>
            </w:r>
            <w:r w:rsidRPr="008269F2">
              <w:rPr>
                <w:rFonts w:ascii="Times New Roman" w:hAnsi="Times New Roman"/>
                <w:i/>
                <w:sz w:val="24"/>
                <w:szCs w:val="27"/>
              </w:rPr>
              <w:t>Tabula</w:t>
            </w:r>
            <w:r w:rsidRPr="008269F2">
              <w:rPr>
                <w:rFonts w:ascii="Times New Roman" w:hAnsi="Times New Roman"/>
                <w:sz w:val="24"/>
                <w:szCs w:val="27"/>
              </w:rPr>
              <w:t xml:space="preserve"> and newspaper </w:t>
            </w:r>
            <w:r w:rsidRPr="008269F2">
              <w:rPr>
                <w:rFonts w:ascii="Times New Roman" w:hAnsi="Times New Roman"/>
                <w:i/>
                <w:sz w:val="24"/>
                <w:szCs w:val="27"/>
              </w:rPr>
              <w:t>Trapeze</w:t>
            </w:r>
            <w:r w:rsidRPr="008269F2">
              <w:rPr>
                <w:rFonts w:ascii="Times New Roman" w:hAnsi="Times New Roman"/>
                <w:sz w:val="24"/>
                <w:szCs w:val="27"/>
              </w:rPr>
              <w:t xml:space="preserve">. After </w:t>
            </w:r>
            <w:r w:rsidRPr="008269F2">
              <w:rPr>
                <w:rFonts w:ascii="Times New Roman" w:hAnsi="Times New Roman"/>
                <w:sz w:val="24"/>
                <w:szCs w:val="27"/>
              </w:rPr>
              <w:lastRenderedPageBreak/>
              <w:t xml:space="preserve">graduating from high school, he worked as a cub reporter for the </w:t>
            </w:r>
            <w:r w:rsidRPr="008269F2">
              <w:rPr>
                <w:rFonts w:ascii="Times New Roman" w:hAnsi="Times New Roman"/>
                <w:i/>
                <w:sz w:val="24"/>
                <w:szCs w:val="27"/>
              </w:rPr>
              <w:t>Kansas City Star</w:t>
            </w:r>
            <w:r w:rsidRPr="008269F2">
              <w:rPr>
                <w:rFonts w:ascii="Times New Roman" w:hAnsi="Times New Roman"/>
                <w:sz w:val="24"/>
                <w:szCs w:val="27"/>
              </w:rPr>
              <w:t xml:space="preserve">, whose style sheet he called </w:t>
            </w:r>
            <w:r>
              <w:rPr>
                <w:rFonts w:ascii="Times New Roman" w:hAnsi="Times New Roman"/>
                <w:sz w:val="24"/>
                <w:szCs w:val="27"/>
              </w:rPr>
              <w:t>‘</w:t>
            </w:r>
            <w:r w:rsidRPr="008269F2">
              <w:rPr>
                <w:rFonts w:ascii="Times New Roman" w:hAnsi="Times New Roman"/>
                <w:sz w:val="24"/>
                <w:szCs w:val="27"/>
              </w:rPr>
              <w:t>the best rules I ever lear</w:t>
            </w:r>
            <w:r>
              <w:rPr>
                <w:rFonts w:ascii="Times New Roman" w:hAnsi="Times New Roman"/>
                <w:sz w:val="24"/>
                <w:szCs w:val="27"/>
              </w:rPr>
              <w:t>ned in the business of writing’.</w:t>
            </w:r>
            <w:r w:rsidRPr="008269F2">
              <w:rPr>
                <w:rFonts w:ascii="Times New Roman" w:hAnsi="Times New Roman"/>
                <w:sz w:val="24"/>
                <w:szCs w:val="27"/>
              </w:rPr>
              <w:t xml:space="preserve"> It</w:t>
            </w:r>
            <w:r>
              <w:rPr>
                <w:rFonts w:ascii="Times New Roman" w:hAnsi="Times New Roman"/>
                <w:sz w:val="24"/>
                <w:szCs w:val="27"/>
              </w:rPr>
              <w:t xml:space="preserve"> included instructions such as ‘Use short sentences’, ‘</w:t>
            </w:r>
            <w:r w:rsidRPr="008269F2">
              <w:rPr>
                <w:rFonts w:ascii="Times New Roman" w:hAnsi="Times New Roman"/>
                <w:sz w:val="24"/>
                <w:szCs w:val="27"/>
              </w:rPr>
              <w:t>Avoid the use of adjectives, especially extravagant ones</w:t>
            </w:r>
            <w:r>
              <w:rPr>
                <w:rFonts w:ascii="Times New Roman" w:hAnsi="Times New Roman"/>
                <w:sz w:val="24"/>
                <w:szCs w:val="27"/>
              </w:rPr>
              <w:t>’,</w:t>
            </w:r>
            <w:r w:rsidRPr="008269F2">
              <w:rPr>
                <w:rFonts w:ascii="Times New Roman" w:hAnsi="Times New Roman"/>
                <w:sz w:val="24"/>
                <w:szCs w:val="27"/>
              </w:rPr>
              <w:t xml:space="preserve"> and</w:t>
            </w:r>
            <w:r>
              <w:rPr>
                <w:rFonts w:ascii="Times New Roman" w:hAnsi="Times New Roman"/>
                <w:sz w:val="24"/>
                <w:szCs w:val="27"/>
              </w:rPr>
              <w:t xml:space="preserve"> ‘</w:t>
            </w:r>
            <w:r w:rsidRPr="008269F2">
              <w:rPr>
                <w:rFonts w:ascii="Times New Roman" w:hAnsi="Times New Roman"/>
                <w:sz w:val="24"/>
                <w:szCs w:val="27"/>
              </w:rPr>
              <w:t>Eliminate every superfluous word</w:t>
            </w:r>
            <w:r>
              <w:rPr>
                <w:rFonts w:ascii="Times New Roman" w:hAnsi="Times New Roman"/>
                <w:sz w:val="24"/>
                <w:szCs w:val="27"/>
              </w:rPr>
              <w:t>’.</w:t>
            </w:r>
            <w:r w:rsidRPr="008269F2">
              <w:rPr>
                <w:rFonts w:ascii="Times New Roman" w:hAnsi="Times New Roman"/>
                <w:sz w:val="24"/>
                <w:szCs w:val="27"/>
              </w:rPr>
              <w:t xml:space="preserve"> He was also a correspondent for the </w:t>
            </w:r>
            <w:r w:rsidRPr="008269F2">
              <w:rPr>
                <w:rFonts w:ascii="Times New Roman" w:hAnsi="Times New Roman"/>
                <w:i/>
                <w:sz w:val="24"/>
                <w:szCs w:val="27"/>
              </w:rPr>
              <w:t>Toronto Star</w:t>
            </w:r>
            <w:r w:rsidRPr="008269F2">
              <w:rPr>
                <w:rFonts w:ascii="Times New Roman" w:hAnsi="Times New Roman"/>
                <w:sz w:val="24"/>
                <w:szCs w:val="27"/>
              </w:rPr>
              <w:t xml:space="preserve"> in the early 1920s. In 1918, while serving in World War I as a Red Cross ambulance driver in Italy, Hemingway was seriously wounded by the explosion of a trench mortar</w:t>
            </w:r>
            <w:r>
              <w:rPr>
                <w:rFonts w:ascii="Times New Roman" w:hAnsi="Times New Roman"/>
                <w:sz w:val="24"/>
                <w:szCs w:val="27"/>
              </w:rPr>
              <w:t>.</w:t>
            </w:r>
            <w:r w:rsidRPr="008269F2">
              <w:rPr>
                <w:rFonts w:ascii="Times New Roman" w:hAnsi="Times New Roman"/>
                <w:sz w:val="24"/>
                <w:szCs w:val="27"/>
              </w:rPr>
              <w:t xml:space="preserve"> While being treated in a Milan hospital, he fell in love with his nurse, Agnes von Kurowsky, who broke off the relationship after he returned to the states. In 1921, Hemingway married Hadley Richardson, and at the urging of Sherwood Anderson whom Hemingway had met in Chicago, they moved to Paris, which Anderson insisted was the best place for an aspiring writer to hone his craft. Gertrude Stein and Ezra Pound became two of his earliest Parisian mentors, but Hemingway also immersed himself in the influential literature they recommended—classics such as those written by Homer, Ovid, Dante, Flaubert, Tolstoy, Dostoevsky, Turgenev, de Maupassant, and Chekov as well as contemporary work by writers such as Henry James, T. S. Eliot, James Joyce, D. H. Lawrence, and Joseph Conrad. He borrowed many of these books from Sylvia Beach’s </w:t>
            </w:r>
            <w:r w:rsidRPr="008269F2">
              <w:rPr>
                <w:rFonts w:ascii="Times New Roman" w:hAnsi="Times New Roman"/>
                <w:i/>
                <w:sz w:val="24"/>
                <w:szCs w:val="27"/>
              </w:rPr>
              <w:t>Shakespeare &amp; Company</w:t>
            </w:r>
            <w:r w:rsidRPr="008269F2">
              <w:rPr>
                <w:rFonts w:ascii="Times New Roman" w:hAnsi="Times New Roman"/>
                <w:sz w:val="24"/>
                <w:szCs w:val="27"/>
              </w:rPr>
              <w:t xml:space="preserve"> bookstore/library</w:t>
            </w:r>
            <w:r w:rsidRPr="008269F2">
              <w:rPr>
                <w:rFonts w:ascii="Times New Roman" w:hAnsi="Times New Roman"/>
                <w:i/>
                <w:sz w:val="24"/>
                <w:szCs w:val="27"/>
              </w:rPr>
              <w:t>.</w:t>
            </w:r>
            <w:r w:rsidRPr="008269F2">
              <w:rPr>
                <w:rFonts w:ascii="Times New Roman" w:hAnsi="Times New Roman"/>
                <w:sz w:val="24"/>
                <w:szCs w:val="27"/>
              </w:rPr>
              <w:t xml:space="preserve"> He was also influenced by the paintings of impressionists, surrealists, and cubists, including Cézanne, Picasso, and Miró, whose art hung not only in museums around Paris but also in the apartment of Stein and Alice B. Toklas.</w:t>
            </w:r>
          </w:p>
          <w:p w:rsidR="002975A0" w:rsidRPr="008269F2" w:rsidRDefault="002975A0" w:rsidP="002975A0">
            <w:pPr>
              <w:rPr>
                <w:rFonts w:ascii="Times New Roman" w:hAnsi="Times New Roman"/>
                <w:sz w:val="24"/>
                <w:szCs w:val="27"/>
              </w:rPr>
            </w:pPr>
            <w:r w:rsidRPr="008269F2">
              <w:rPr>
                <w:rFonts w:ascii="Times New Roman" w:hAnsi="Times New Roman"/>
                <w:sz w:val="24"/>
                <w:szCs w:val="27"/>
              </w:rPr>
              <w:t xml:space="preserve">In 1923, Hemingway’s first book, </w:t>
            </w:r>
            <w:r w:rsidRPr="008269F2">
              <w:rPr>
                <w:rFonts w:ascii="Times New Roman" w:hAnsi="Times New Roman"/>
                <w:i/>
                <w:sz w:val="24"/>
                <w:szCs w:val="27"/>
              </w:rPr>
              <w:t>Three Stories and Ten Poems</w:t>
            </w:r>
            <w:r w:rsidRPr="008269F2">
              <w:rPr>
                <w:rFonts w:ascii="Times New Roman" w:hAnsi="Times New Roman"/>
                <w:sz w:val="24"/>
                <w:szCs w:val="27"/>
              </w:rPr>
              <w:t xml:space="preserve">, was published in Paris by Robert McAlmon’s Contact Publishing. The next year, his collection </w:t>
            </w:r>
            <w:r w:rsidRPr="008269F2">
              <w:rPr>
                <w:rFonts w:ascii="Times New Roman" w:hAnsi="Times New Roman"/>
                <w:i/>
                <w:sz w:val="24"/>
                <w:szCs w:val="27"/>
              </w:rPr>
              <w:t>in our time</w:t>
            </w:r>
            <w:r w:rsidRPr="008269F2">
              <w:rPr>
                <w:rFonts w:ascii="Times New Roman" w:hAnsi="Times New Roman"/>
                <w:sz w:val="24"/>
                <w:szCs w:val="27"/>
              </w:rPr>
              <w:t xml:space="preserve"> appeared as a limited edition; he then incorporated its very short stories into his first major work, </w:t>
            </w:r>
            <w:r w:rsidRPr="008269F2">
              <w:rPr>
                <w:rFonts w:ascii="Times New Roman" w:hAnsi="Times New Roman"/>
                <w:i/>
                <w:sz w:val="24"/>
                <w:szCs w:val="27"/>
              </w:rPr>
              <w:t>In Our Time</w:t>
            </w:r>
            <w:r w:rsidRPr="008269F2">
              <w:rPr>
                <w:rFonts w:ascii="Times New Roman" w:hAnsi="Times New Roman"/>
                <w:sz w:val="24"/>
                <w:szCs w:val="27"/>
              </w:rPr>
              <w:t xml:space="preserve"> (Boni &amp; Liveright 1925). The book is organized around a pattern of longer stories alternating with vignettes (also known as interchapters) with the central figure Nick Adams appearing in about half the stories and one vignette. The cumulative effect is a cubist-like portrait of the chaos, heartbreak, and violence of a modern life marked by war, miscommunication, troubled relationships, environmental destruction, crime, and trauma. During this time, Hemingway was working out his theory of omission or iceberg theory of writing in which 7/8</w:t>
            </w:r>
            <w:r w:rsidRPr="008269F2">
              <w:rPr>
                <w:rFonts w:ascii="Times New Roman" w:hAnsi="Times New Roman"/>
                <w:sz w:val="24"/>
                <w:szCs w:val="27"/>
                <w:vertAlign w:val="superscript"/>
              </w:rPr>
              <w:t>th</w:t>
            </w:r>
            <w:r w:rsidRPr="008269F2">
              <w:rPr>
                <w:rFonts w:ascii="Times New Roman" w:hAnsi="Times New Roman"/>
                <w:sz w:val="24"/>
                <w:szCs w:val="27"/>
              </w:rPr>
              <w:t>’s of the story lay beneath the 1/8</w:t>
            </w:r>
            <w:r w:rsidRPr="008269F2">
              <w:rPr>
                <w:rFonts w:ascii="Times New Roman" w:hAnsi="Times New Roman"/>
                <w:sz w:val="24"/>
                <w:szCs w:val="27"/>
                <w:vertAlign w:val="superscript"/>
              </w:rPr>
              <w:t>th</w:t>
            </w:r>
            <w:r w:rsidR="00D0758A">
              <w:rPr>
                <w:rFonts w:ascii="Times New Roman" w:hAnsi="Times New Roman"/>
                <w:sz w:val="24"/>
                <w:szCs w:val="27"/>
              </w:rPr>
              <w:t xml:space="preserve"> that was told: ‘</w:t>
            </w:r>
            <w:r w:rsidRPr="008269F2">
              <w:rPr>
                <w:rFonts w:ascii="Times New Roman" w:hAnsi="Times New Roman"/>
                <w:sz w:val="24"/>
                <w:szCs w:val="27"/>
              </w:rPr>
              <w:t>A good writer</w:t>
            </w:r>
            <w:r w:rsidR="00D0758A">
              <w:rPr>
                <w:rFonts w:ascii="Times New Roman" w:hAnsi="Times New Roman"/>
                <w:sz w:val="24"/>
                <w:szCs w:val="27"/>
              </w:rPr>
              <w:t>’, he argued, ‘</w:t>
            </w:r>
            <w:r w:rsidRPr="008269F2">
              <w:rPr>
                <w:rFonts w:ascii="Times New Roman" w:hAnsi="Times New Roman"/>
                <w:sz w:val="24"/>
                <w:szCs w:val="27"/>
              </w:rPr>
              <w:t>should know</w:t>
            </w:r>
            <w:r w:rsidR="00D0758A">
              <w:rPr>
                <w:rFonts w:ascii="Times New Roman" w:hAnsi="Times New Roman"/>
                <w:sz w:val="24"/>
                <w:szCs w:val="27"/>
              </w:rPr>
              <w:t xml:space="preserve"> as near everything as possible’</w:t>
            </w:r>
            <w:r w:rsidRPr="008269F2">
              <w:rPr>
                <w:rFonts w:ascii="Times New Roman" w:hAnsi="Times New Roman"/>
                <w:sz w:val="24"/>
                <w:szCs w:val="27"/>
              </w:rPr>
              <w:t xml:space="preserve"> but </w:t>
            </w:r>
            <w:r w:rsidR="00D0758A">
              <w:rPr>
                <w:rFonts w:ascii="Times New Roman" w:hAnsi="Times New Roman"/>
                <w:sz w:val="24"/>
                <w:szCs w:val="27"/>
              </w:rPr>
              <w:t>‘</w:t>
            </w:r>
            <w:r w:rsidRPr="008269F2">
              <w:rPr>
                <w:rFonts w:ascii="Times New Roman" w:hAnsi="Times New Roman"/>
                <w:sz w:val="24"/>
                <w:szCs w:val="27"/>
              </w:rPr>
              <w:t>may omit things that he knows and the reader, if the writer is writing truly enough, will have a feeling of those things as strongly as though the writer had stated them.</w:t>
            </w:r>
            <w:r w:rsidR="00D0758A">
              <w:rPr>
                <w:rFonts w:ascii="Times New Roman" w:hAnsi="Times New Roman"/>
                <w:sz w:val="24"/>
                <w:szCs w:val="27"/>
              </w:rPr>
              <w:t>’</w:t>
            </w:r>
          </w:p>
          <w:p w:rsidR="002975A0" w:rsidRPr="008269F2" w:rsidRDefault="002975A0" w:rsidP="002975A0">
            <w:pPr>
              <w:rPr>
                <w:rFonts w:ascii="Times New Roman" w:hAnsi="Times New Roman"/>
                <w:sz w:val="24"/>
                <w:szCs w:val="27"/>
              </w:rPr>
            </w:pPr>
            <w:r w:rsidRPr="008269F2">
              <w:rPr>
                <w:rFonts w:ascii="Times New Roman" w:hAnsi="Times New Roman"/>
                <w:sz w:val="24"/>
                <w:szCs w:val="27"/>
              </w:rPr>
              <w:t xml:space="preserve">Hemingway’s fourth book was a short novel, </w:t>
            </w:r>
            <w:r w:rsidRPr="008269F2">
              <w:rPr>
                <w:rFonts w:ascii="Times New Roman" w:hAnsi="Times New Roman"/>
                <w:i/>
                <w:sz w:val="24"/>
                <w:szCs w:val="27"/>
              </w:rPr>
              <w:t>Torrents of Spring</w:t>
            </w:r>
            <w:r w:rsidRPr="008269F2">
              <w:rPr>
                <w:rFonts w:ascii="Times New Roman" w:hAnsi="Times New Roman"/>
                <w:sz w:val="24"/>
                <w:szCs w:val="27"/>
              </w:rPr>
              <w:t xml:space="preserve"> (1926), a parody of Sherwood Anderson’s </w:t>
            </w:r>
            <w:r w:rsidRPr="008269F2">
              <w:rPr>
                <w:rFonts w:ascii="Times New Roman" w:hAnsi="Times New Roman"/>
                <w:i/>
                <w:sz w:val="24"/>
                <w:szCs w:val="27"/>
              </w:rPr>
              <w:t>Dark Laughter</w:t>
            </w:r>
            <w:r w:rsidRPr="008269F2">
              <w:rPr>
                <w:rFonts w:ascii="Times New Roman" w:hAnsi="Times New Roman"/>
                <w:sz w:val="24"/>
                <w:szCs w:val="27"/>
              </w:rPr>
              <w:t xml:space="preserve"> (1925). Subtitled </w:t>
            </w:r>
            <w:r w:rsidRPr="008269F2">
              <w:rPr>
                <w:rFonts w:ascii="Times New Roman" w:hAnsi="Times New Roman"/>
                <w:i/>
                <w:sz w:val="24"/>
                <w:szCs w:val="27"/>
              </w:rPr>
              <w:t>A Romantic Novel in Honor of the Passing of a Great Race</w:t>
            </w:r>
            <w:r w:rsidRPr="008269F2">
              <w:rPr>
                <w:rFonts w:ascii="Times New Roman" w:hAnsi="Times New Roman"/>
                <w:sz w:val="24"/>
                <w:szCs w:val="27"/>
              </w:rPr>
              <w:t xml:space="preserve">, </w:t>
            </w:r>
            <w:r w:rsidRPr="008269F2">
              <w:rPr>
                <w:rFonts w:ascii="Times New Roman" w:hAnsi="Times New Roman"/>
                <w:i/>
                <w:sz w:val="24"/>
                <w:szCs w:val="27"/>
              </w:rPr>
              <w:t>Torrents</w:t>
            </w:r>
            <w:r w:rsidRPr="008269F2">
              <w:rPr>
                <w:rFonts w:ascii="Times New Roman" w:hAnsi="Times New Roman"/>
                <w:sz w:val="24"/>
                <w:szCs w:val="27"/>
              </w:rPr>
              <w:t xml:space="preserve"> was written quickly in Hemingway’s successful effort to break from Boni &amp; Liveright (which published Anderson and couldn’t risk offending him) and sign with Scribner’s, a more commercially successful literary publishing firm that had been recommended to him by F. Scott Fitzgerald. A few months later, </w:t>
            </w:r>
            <w:r w:rsidRPr="008269F2">
              <w:rPr>
                <w:rFonts w:ascii="Times New Roman" w:hAnsi="Times New Roman"/>
                <w:i/>
                <w:sz w:val="24"/>
                <w:szCs w:val="27"/>
              </w:rPr>
              <w:t>The Sun Also Rises</w:t>
            </w:r>
            <w:r w:rsidRPr="008269F2">
              <w:rPr>
                <w:rFonts w:ascii="Times New Roman" w:hAnsi="Times New Roman"/>
                <w:sz w:val="24"/>
                <w:szCs w:val="27"/>
              </w:rPr>
              <w:t xml:space="preserve"> (1926) was published by Scribner’s to critical acclaim. Told from the perspective of writer Jake Barnes, whose genitals had been injured in the war, the novel focused on a group of expatriates who, except perhaps for Jake, mistook motion and drama for meaning and depth of feeling. </w:t>
            </w:r>
            <w:r w:rsidR="00CE6EC4">
              <w:rPr>
                <w:rFonts w:ascii="Times New Roman" w:hAnsi="Times New Roman"/>
                <w:sz w:val="24"/>
                <w:szCs w:val="27"/>
              </w:rPr>
              <w:t>One of the novel’s epigraphs, ‘</w:t>
            </w:r>
            <w:r w:rsidRPr="008269F2">
              <w:rPr>
                <w:rFonts w:ascii="Times New Roman" w:hAnsi="Times New Roman"/>
                <w:sz w:val="24"/>
                <w:szCs w:val="27"/>
              </w:rPr>
              <w:t xml:space="preserve">You are all a lost </w:t>
            </w:r>
            <w:r w:rsidR="00CE6EC4">
              <w:rPr>
                <w:rFonts w:ascii="Times New Roman" w:hAnsi="Times New Roman"/>
                <w:sz w:val="24"/>
                <w:szCs w:val="27"/>
              </w:rPr>
              <w:t>generation’,</w:t>
            </w:r>
            <w:r w:rsidRPr="008269F2">
              <w:rPr>
                <w:rFonts w:ascii="Times New Roman" w:hAnsi="Times New Roman"/>
                <w:sz w:val="24"/>
                <w:szCs w:val="27"/>
              </w:rPr>
              <w:t xml:space="preserve"> seemed to reflect not only the situation of the characters but also the state of the modern world </w:t>
            </w:r>
            <w:r w:rsidRPr="008269F2">
              <w:rPr>
                <w:rFonts w:ascii="Times New Roman" w:hAnsi="Times New Roman"/>
                <w:sz w:val="24"/>
                <w:szCs w:val="27"/>
              </w:rPr>
              <w:lastRenderedPageBreak/>
              <w:t xml:space="preserve">devastated by a catastrophic war that had taken the lives of an entire generation of men and shaken many people’s faith in religion, government, and science.  </w:t>
            </w:r>
          </w:p>
          <w:p w:rsidR="002975A0" w:rsidRPr="008269F2" w:rsidRDefault="002975A0" w:rsidP="002975A0">
            <w:pPr>
              <w:rPr>
                <w:rFonts w:ascii="Times New Roman" w:hAnsi="Times New Roman"/>
                <w:sz w:val="24"/>
                <w:szCs w:val="27"/>
              </w:rPr>
            </w:pPr>
            <w:r w:rsidRPr="008269F2">
              <w:rPr>
                <w:rFonts w:ascii="Times New Roman" w:hAnsi="Times New Roman"/>
                <w:sz w:val="24"/>
                <w:szCs w:val="27"/>
              </w:rPr>
              <w:t>Throughout the 1920s, Hemingway published short stories</w:t>
            </w:r>
            <w:r w:rsidR="00CE6EC4">
              <w:rPr>
                <w:rFonts w:ascii="Times New Roman" w:hAnsi="Times New Roman"/>
                <w:sz w:val="24"/>
                <w:szCs w:val="27"/>
              </w:rPr>
              <w:t xml:space="preserve"> in the ‘</w:t>
            </w:r>
            <w:r w:rsidRPr="008269F2">
              <w:rPr>
                <w:rFonts w:ascii="Times New Roman" w:hAnsi="Times New Roman"/>
                <w:sz w:val="24"/>
                <w:szCs w:val="27"/>
              </w:rPr>
              <w:t>little magazines</w:t>
            </w:r>
            <w:r w:rsidR="00CE6EC4">
              <w:rPr>
                <w:rFonts w:ascii="Times New Roman" w:hAnsi="Times New Roman"/>
                <w:sz w:val="24"/>
                <w:szCs w:val="27"/>
              </w:rPr>
              <w:t>’,</w:t>
            </w:r>
            <w:r w:rsidRPr="008269F2">
              <w:rPr>
                <w:rFonts w:ascii="Times New Roman" w:hAnsi="Times New Roman"/>
                <w:sz w:val="24"/>
                <w:szCs w:val="27"/>
              </w:rPr>
              <w:t xml:space="preserve"> and he collected a number of these in </w:t>
            </w:r>
            <w:r w:rsidRPr="008269F2">
              <w:rPr>
                <w:rFonts w:ascii="Times New Roman" w:hAnsi="Times New Roman"/>
                <w:i/>
                <w:sz w:val="24"/>
                <w:szCs w:val="27"/>
              </w:rPr>
              <w:t>Men Without Women</w:t>
            </w:r>
            <w:r w:rsidRPr="008269F2">
              <w:rPr>
                <w:rFonts w:ascii="Times New Roman" w:hAnsi="Times New Roman"/>
                <w:sz w:val="24"/>
                <w:szCs w:val="27"/>
              </w:rPr>
              <w:t xml:space="preserve"> (1927), a volume unified by an</w:t>
            </w:r>
            <w:r w:rsidR="00CE6EC4">
              <w:rPr>
                <w:rFonts w:ascii="Times New Roman" w:hAnsi="Times New Roman"/>
                <w:sz w:val="24"/>
                <w:szCs w:val="27"/>
              </w:rPr>
              <w:t xml:space="preserve"> absence of the ‘</w:t>
            </w:r>
            <w:r w:rsidRPr="008269F2">
              <w:rPr>
                <w:rFonts w:ascii="Times New Roman" w:hAnsi="Times New Roman"/>
                <w:sz w:val="24"/>
                <w:szCs w:val="27"/>
              </w:rPr>
              <w:t>softening influence</w:t>
            </w:r>
            <w:r w:rsidR="00CE6EC4">
              <w:rPr>
                <w:rFonts w:ascii="Times New Roman" w:hAnsi="Times New Roman"/>
                <w:sz w:val="24"/>
                <w:szCs w:val="27"/>
              </w:rPr>
              <w:t>’</w:t>
            </w:r>
            <w:r w:rsidRPr="008269F2">
              <w:rPr>
                <w:rFonts w:ascii="Times New Roman" w:hAnsi="Times New Roman"/>
                <w:sz w:val="24"/>
                <w:szCs w:val="27"/>
              </w:rPr>
              <w:t xml:space="preserve"> of women. He also had an affair with Pauline Pfeiffer, who worked for </w:t>
            </w:r>
            <w:r w:rsidRPr="008269F2">
              <w:rPr>
                <w:rFonts w:ascii="Times New Roman" w:hAnsi="Times New Roman"/>
                <w:i/>
                <w:sz w:val="24"/>
                <w:szCs w:val="27"/>
              </w:rPr>
              <w:t>Vogue</w:t>
            </w:r>
            <w:r w:rsidRPr="008269F2">
              <w:rPr>
                <w:rFonts w:ascii="Times New Roman" w:hAnsi="Times New Roman"/>
                <w:sz w:val="24"/>
                <w:szCs w:val="27"/>
              </w:rPr>
              <w:t xml:space="preserve"> magazine, which dissolved his first marriage. Pauline and Hemingway married in 1927. In 1929, </w:t>
            </w:r>
            <w:r w:rsidRPr="008269F2">
              <w:rPr>
                <w:rFonts w:ascii="Times New Roman" w:hAnsi="Times New Roman"/>
                <w:i/>
                <w:sz w:val="24"/>
                <w:szCs w:val="27"/>
              </w:rPr>
              <w:t>A Farewell to Arms</w:t>
            </w:r>
            <w:r w:rsidRPr="008269F2">
              <w:rPr>
                <w:rFonts w:ascii="Times New Roman" w:hAnsi="Times New Roman"/>
                <w:sz w:val="24"/>
                <w:szCs w:val="27"/>
              </w:rPr>
              <w:t xml:space="preserve"> was published to critical acclaim and strong sales; also serialized in </w:t>
            </w:r>
            <w:r w:rsidRPr="008269F2">
              <w:rPr>
                <w:rFonts w:ascii="Times New Roman" w:hAnsi="Times New Roman"/>
                <w:i/>
                <w:sz w:val="24"/>
                <w:szCs w:val="27"/>
              </w:rPr>
              <w:t>Scribner’s Magazine</w:t>
            </w:r>
            <w:r w:rsidRPr="008269F2">
              <w:rPr>
                <w:rFonts w:ascii="Times New Roman" w:hAnsi="Times New Roman"/>
                <w:sz w:val="24"/>
                <w:szCs w:val="27"/>
              </w:rPr>
              <w:t xml:space="preserve">, it was banned in Boston. The plot centered on the love affair between a young American, Frederic Henry, serving as a lieutenant in the Italian army during WWI, and a British nurse, Catherine Barkley, who helps bring him back to health after he is injured. Prostitution, venereal disease, excessive drinking, sex and pregnancy outside of marriage, desertion from the army, and the embarrassing retreat of the Italian army in Caporetto—such topics were deemed unacceptable by some people of the time. However, Scribner’s printed a compelling defense of Hemingway’s artistic rendering of his subject matter, and the novel never faced an obscenity trial, as did the works of some other modernist authors such as James Joyce and Radclyffe Hall. </w:t>
            </w:r>
          </w:p>
          <w:p w:rsidR="002975A0" w:rsidRPr="008269F2" w:rsidRDefault="002975A0" w:rsidP="002975A0">
            <w:pPr>
              <w:rPr>
                <w:rFonts w:ascii="Times New Roman" w:hAnsi="Times New Roman"/>
                <w:sz w:val="24"/>
                <w:szCs w:val="27"/>
              </w:rPr>
            </w:pPr>
            <w:r w:rsidRPr="008269F2">
              <w:rPr>
                <w:rFonts w:ascii="Times New Roman" w:hAnsi="Times New Roman"/>
                <w:sz w:val="24"/>
                <w:szCs w:val="27"/>
              </w:rPr>
              <w:t xml:space="preserve">In the 1930s, Hemingway experimented with style and form in the genre of nonfiction. </w:t>
            </w:r>
            <w:r w:rsidRPr="008269F2">
              <w:rPr>
                <w:rFonts w:ascii="Times New Roman" w:hAnsi="Times New Roman"/>
                <w:i/>
                <w:sz w:val="24"/>
                <w:szCs w:val="27"/>
              </w:rPr>
              <w:t>Death in the Afternoon</w:t>
            </w:r>
            <w:r w:rsidRPr="008269F2">
              <w:rPr>
                <w:rFonts w:ascii="Times New Roman" w:hAnsi="Times New Roman"/>
                <w:sz w:val="24"/>
                <w:szCs w:val="27"/>
              </w:rPr>
              <w:t xml:space="preserve"> (1932), a treatise on bullfighting, and </w:t>
            </w:r>
            <w:r w:rsidRPr="008269F2">
              <w:rPr>
                <w:rFonts w:ascii="Times New Roman" w:hAnsi="Times New Roman"/>
                <w:i/>
                <w:sz w:val="24"/>
                <w:szCs w:val="27"/>
              </w:rPr>
              <w:t>Green Hills of Africa</w:t>
            </w:r>
            <w:r w:rsidRPr="008269F2">
              <w:rPr>
                <w:rFonts w:ascii="Times New Roman" w:hAnsi="Times New Roman"/>
                <w:sz w:val="24"/>
                <w:szCs w:val="27"/>
              </w:rPr>
              <w:t xml:space="preserve"> (1935), a recounting of his first African safari, put off critics and much of the general public with the braggadocio of Hemingway’s narrative voice and senseless killing of animals. Although both books contained some important insights into Hemingway’s creative process and values, they lacked the subtlety and finesse of his earlier work, promoted a self-indulgent, hyper-masculine persona, and seemed irrelevant at a time when the U.S. was facing a serious economic depression. Another collection of short stories, </w:t>
            </w:r>
            <w:r w:rsidRPr="008269F2">
              <w:rPr>
                <w:rFonts w:ascii="Times New Roman" w:hAnsi="Times New Roman"/>
                <w:i/>
                <w:sz w:val="24"/>
                <w:szCs w:val="27"/>
              </w:rPr>
              <w:t>Winner Take Nothing</w:t>
            </w:r>
            <w:r w:rsidRPr="008269F2">
              <w:rPr>
                <w:rFonts w:ascii="Times New Roman" w:hAnsi="Times New Roman"/>
                <w:sz w:val="24"/>
                <w:szCs w:val="27"/>
              </w:rPr>
              <w:t xml:space="preserve"> (1933), contained some short-fiction </w:t>
            </w:r>
            <w:r w:rsidR="00741642">
              <w:rPr>
                <w:rFonts w:ascii="Times New Roman" w:hAnsi="Times New Roman"/>
                <w:sz w:val="24"/>
                <w:szCs w:val="27"/>
              </w:rPr>
              <w:t>gems, such as ‘The Sea Change’ ‘</w:t>
            </w:r>
            <w:r w:rsidRPr="008269F2">
              <w:rPr>
                <w:rFonts w:ascii="Times New Roman" w:hAnsi="Times New Roman"/>
                <w:sz w:val="24"/>
                <w:szCs w:val="27"/>
              </w:rPr>
              <w:t>A Clean, Well-Lighte</w:t>
            </w:r>
            <w:r w:rsidR="00741642">
              <w:rPr>
                <w:rFonts w:ascii="Times New Roman" w:hAnsi="Times New Roman"/>
                <w:sz w:val="24"/>
                <w:szCs w:val="27"/>
              </w:rPr>
              <w:t>d Place’, and ‘</w:t>
            </w:r>
            <w:r w:rsidRPr="008269F2">
              <w:rPr>
                <w:rFonts w:ascii="Times New Roman" w:hAnsi="Times New Roman"/>
                <w:sz w:val="24"/>
                <w:szCs w:val="27"/>
              </w:rPr>
              <w:t>Fathers and Sons</w:t>
            </w:r>
            <w:r w:rsidR="00741642">
              <w:rPr>
                <w:rFonts w:ascii="Times New Roman" w:hAnsi="Times New Roman"/>
                <w:sz w:val="24"/>
                <w:szCs w:val="27"/>
              </w:rPr>
              <w:t>’</w:t>
            </w:r>
            <w:r w:rsidRPr="008269F2">
              <w:rPr>
                <w:rFonts w:ascii="Times New Roman" w:hAnsi="Times New Roman"/>
                <w:sz w:val="24"/>
                <w:szCs w:val="27"/>
              </w:rPr>
              <w:t>.  Its subject matter—such as homosexuality, lesbianism, self-castration, suicide, prostitution, insanity—demonstrated that Hemingway had a recurring interest in non-normative behavio</w:t>
            </w:r>
            <w:r w:rsidR="00741642">
              <w:rPr>
                <w:rFonts w:ascii="Times New Roman" w:hAnsi="Times New Roman"/>
                <w:sz w:val="24"/>
                <w:szCs w:val="27"/>
              </w:rPr>
              <w:t>u</w:t>
            </w:r>
            <w:r w:rsidRPr="008269F2">
              <w:rPr>
                <w:rFonts w:ascii="Times New Roman" w:hAnsi="Times New Roman"/>
                <w:sz w:val="24"/>
                <w:szCs w:val="27"/>
              </w:rPr>
              <w:t>r, including</w:t>
            </w:r>
            <w:r w:rsidR="00741642">
              <w:rPr>
                <w:rFonts w:ascii="Times New Roman" w:hAnsi="Times New Roman"/>
                <w:sz w:val="24"/>
                <w:szCs w:val="27"/>
              </w:rPr>
              <w:t xml:space="preserve"> the sexual ‘perversions’</w:t>
            </w:r>
            <w:r w:rsidRPr="008269F2">
              <w:rPr>
                <w:rFonts w:ascii="Times New Roman" w:hAnsi="Times New Roman"/>
                <w:sz w:val="24"/>
                <w:szCs w:val="27"/>
              </w:rPr>
              <w:t xml:space="preserve"> that had been catalogued by sexologists such as Havelock Ellis, whom he had avidly read in the 1920s. During this decade, Hemingway also wrote several stories and a number of articles for </w:t>
            </w:r>
            <w:r w:rsidRPr="008269F2">
              <w:rPr>
                <w:rFonts w:ascii="Times New Roman" w:hAnsi="Times New Roman"/>
                <w:i/>
                <w:sz w:val="24"/>
                <w:szCs w:val="27"/>
              </w:rPr>
              <w:t>Esquire</w:t>
            </w:r>
            <w:r w:rsidRPr="008269F2">
              <w:rPr>
                <w:rFonts w:ascii="Times New Roman" w:hAnsi="Times New Roman"/>
                <w:sz w:val="24"/>
                <w:szCs w:val="27"/>
              </w:rPr>
              <w:t xml:space="preserve">, a new men’s magazine, and composed a full-length play, </w:t>
            </w:r>
            <w:r w:rsidRPr="008269F2">
              <w:rPr>
                <w:rFonts w:ascii="Times New Roman" w:hAnsi="Times New Roman"/>
                <w:i/>
                <w:sz w:val="24"/>
                <w:szCs w:val="27"/>
              </w:rPr>
              <w:t>The Fifth Column</w:t>
            </w:r>
            <w:r w:rsidRPr="008269F2">
              <w:rPr>
                <w:rFonts w:ascii="Times New Roman" w:hAnsi="Times New Roman"/>
                <w:sz w:val="24"/>
                <w:szCs w:val="27"/>
              </w:rPr>
              <w:t xml:space="preserve">, which he later </w:t>
            </w:r>
            <w:r w:rsidR="00F61D6D">
              <w:rPr>
                <w:rFonts w:ascii="Times New Roman" w:hAnsi="Times New Roman"/>
                <w:sz w:val="24"/>
                <w:szCs w:val="27"/>
              </w:rPr>
              <w:t>called ‘</w:t>
            </w:r>
            <w:r w:rsidRPr="008269F2">
              <w:rPr>
                <w:rFonts w:ascii="Times New Roman" w:hAnsi="Times New Roman"/>
                <w:sz w:val="24"/>
                <w:szCs w:val="27"/>
              </w:rPr>
              <w:t>probably the most unsatisfactory thing I ever wrote</w:t>
            </w:r>
            <w:r w:rsidR="00F61D6D">
              <w:rPr>
                <w:rFonts w:ascii="Times New Roman" w:hAnsi="Times New Roman"/>
                <w:sz w:val="24"/>
                <w:szCs w:val="27"/>
              </w:rPr>
              <w:t>’</w:t>
            </w:r>
            <w:r w:rsidRPr="008269F2">
              <w:rPr>
                <w:rFonts w:ascii="Times New Roman" w:hAnsi="Times New Roman"/>
                <w:sz w:val="24"/>
                <w:szCs w:val="27"/>
              </w:rPr>
              <w:t xml:space="preserve">. In the late 30s, Hemingway supported the Republican side in the Spanish Civil War (1936-39), contributing newspaper reports for the North American Newspaper Alliance (NANA). He also co-wrote and narrated the English version of </w:t>
            </w:r>
            <w:r w:rsidRPr="008269F2">
              <w:rPr>
                <w:rFonts w:ascii="Times New Roman" w:hAnsi="Times New Roman"/>
                <w:i/>
                <w:sz w:val="24"/>
                <w:szCs w:val="27"/>
              </w:rPr>
              <w:t>The Spanish Earth</w:t>
            </w:r>
            <w:r w:rsidRPr="008269F2">
              <w:rPr>
                <w:rFonts w:ascii="Times New Roman" w:hAnsi="Times New Roman"/>
                <w:sz w:val="24"/>
                <w:szCs w:val="27"/>
              </w:rPr>
              <w:t xml:space="preserve"> (1937), a propaganda film made by Dutch documentary filmmaker and avowed communist Joris Ivens.</w:t>
            </w:r>
          </w:p>
          <w:p w:rsidR="002975A0" w:rsidRPr="008269F2" w:rsidRDefault="002975A0" w:rsidP="002975A0">
            <w:pPr>
              <w:rPr>
                <w:rFonts w:ascii="Times New Roman" w:hAnsi="Times New Roman"/>
                <w:sz w:val="24"/>
                <w:szCs w:val="27"/>
              </w:rPr>
            </w:pPr>
            <w:r w:rsidRPr="008269F2">
              <w:rPr>
                <w:rFonts w:ascii="Times New Roman" w:hAnsi="Times New Roman"/>
                <w:sz w:val="24"/>
                <w:szCs w:val="27"/>
              </w:rPr>
              <w:t xml:space="preserve">Returning to the novel form in </w:t>
            </w:r>
            <w:r w:rsidRPr="008269F2">
              <w:rPr>
                <w:rFonts w:ascii="Times New Roman" w:hAnsi="Times New Roman"/>
                <w:i/>
                <w:sz w:val="24"/>
                <w:szCs w:val="27"/>
              </w:rPr>
              <w:t>To Have and Have Not</w:t>
            </w:r>
            <w:r w:rsidRPr="008269F2">
              <w:rPr>
                <w:rFonts w:ascii="Times New Roman" w:hAnsi="Times New Roman"/>
                <w:sz w:val="24"/>
                <w:szCs w:val="27"/>
              </w:rPr>
              <w:t xml:space="preserve"> (1937) and </w:t>
            </w:r>
            <w:r w:rsidRPr="008269F2">
              <w:rPr>
                <w:rFonts w:ascii="Times New Roman" w:hAnsi="Times New Roman"/>
                <w:i/>
                <w:sz w:val="24"/>
                <w:szCs w:val="27"/>
              </w:rPr>
              <w:t>For Whom the Bell Tolls</w:t>
            </w:r>
            <w:r w:rsidRPr="008269F2">
              <w:rPr>
                <w:rFonts w:ascii="Times New Roman" w:hAnsi="Times New Roman"/>
                <w:sz w:val="24"/>
                <w:szCs w:val="27"/>
              </w:rPr>
              <w:t xml:space="preserve"> (1940), Hemingway continued to experiment with modernist techniques, such as observing the same character or scene through multiple viewpoints and using stream of consciousness to convey sensation uncontrolled by the rational mind. </w:t>
            </w:r>
            <w:r w:rsidRPr="008269F2">
              <w:rPr>
                <w:rFonts w:ascii="Times New Roman" w:hAnsi="Times New Roman"/>
                <w:i/>
                <w:sz w:val="24"/>
                <w:szCs w:val="27"/>
              </w:rPr>
              <w:t>To Have and Have Not</w:t>
            </w:r>
            <w:r w:rsidRPr="008269F2">
              <w:rPr>
                <w:rFonts w:ascii="Times New Roman" w:hAnsi="Times New Roman"/>
                <w:sz w:val="24"/>
                <w:szCs w:val="27"/>
              </w:rPr>
              <w:t xml:space="preserve">—focused on Harry Morgan, a fishing boat captain in Cuba forced to carry illegal cargo to make ends meet—includes a Molly Bloom-like interior monologue by Harry’s wife, Marie. </w:t>
            </w:r>
            <w:r w:rsidRPr="008269F2">
              <w:rPr>
                <w:rFonts w:ascii="Times New Roman" w:hAnsi="Times New Roman"/>
                <w:i/>
                <w:sz w:val="24"/>
                <w:szCs w:val="27"/>
              </w:rPr>
              <w:t>For Whom the Bell Tolls</w:t>
            </w:r>
            <w:r w:rsidRPr="008269F2">
              <w:rPr>
                <w:rFonts w:ascii="Times New Roman" w:hAnsi="Times New Roman"/>
                <w:sz w:val="24"/>
                <w:szCs w:val="27"/>
              </w:rPr>
              <w:t xml:space="preserve"> employs stream of consciousness to present an earth-moving sexual </w:t>
            </w:r>
            <w:r w:rsidRPr="008269F2">
              <w:rPr>
                <w:rFonts w:ascii="Times New Roman" w:hAnsi="Times New Roman"/>
                <w:sz w:val="24"/>
                <w:szCs w:val="27"/>
              </w:rPr>
              <w:lastRenderedPageBreak/>
              <w:t>encounter between American Robert Jordan and Maria, a young Spanish woman, who fall in love after he is sent to help a band of antifascist guerrillas blow up a bridge during the Spanish Civil War. Both novels also confirmed Hemingway’s investment in Leftist politics, although some felt he had not advanced the cause strongly enough because both books were ultimately cynical about politics. In 1936, Hemingway became involved with writer Martha Gellhorn, marrying her in 1940 after his divorce from Pauline was finalized. In 1944, he travel</w:t>
            </w:r>
            <w:r w:rsidR="00F61D6D">
              <w:rPr>
                <w:rFonts w:ascii="Times New Roman" w:hAnsi="Times New Roman"/>
                <w:sz w:val="24"/>
                <w:szCs w:val="27"/>
              </w:rPr>
              <w:t>l</w:t>
            </w:r>
            <w:r w:rsidRPr="008269F2">
              <w:rPr>
                <w:rFonts w:ascii="Times New Roman" w:hAnsi="Times New Roman"/>
                <w:sz w:val="24"/>
                <w:szCs w:val="27"/>
              </w:rPr>
              <w:t>ed to Europe to report on World War II and, embedded with the troops, witnessed several battles and was even involved in one. Gellhorn and Hemingway divorced in 1945; by that time, he was involved with journalist Mary Welsh, who became his fourth and final wife in 1946.</w:t>
            </w:r>
          </w:p>
          <w:p w:rsidR="002975A0" w:rsidRPr="008269F2" w:rsidRDefault="002975A0" w:rsidP="002975A0">
            <w:pPr>
              <w:rPr>
                <w:rFonts w:ascii="Times New Roman" w:hAnsi="Times New Roman"/>
                <w:sz w:val="24"/>
                <w:szCs w:val="27"/>
              </w:rPr>
            </w:pPr>
            <w:r w:rsidRPr="008269F2">
              <w:rPr>
                <w:rFonts w:ascii="Times New Roman" w:hAnsi="Times New Roman"/>
                <w:sz w:val="24"/>
                <w:szCs w:val="27"/>
              </w:rPr>
              <w:t xml:space="preserve">Much of Hemingway’s fiction and nonfiction written during the 1950s remained in manuscript form until after his death, although he did publish two novels. The first, </w:t>
            </w:r>
            <w:r w:rsidRPr="008269F2">
              <w:rPr>
                <w:rFonts w:ascii="Times New Roman" w:hAnsi="Times New Roman"/>
                <w:i/>
                <w:sz w:val="24"/>
                <w:szCs w:val="27"/>
              </w:rPr>
              <w:t>Across the River and Into the Trees</w:t>
            </w:r>
            <w:r w:rsidRPr="008269F2">
              <w:rPr>
                <w:rFonts w:ascii="Times New Roman" w:hAnsi="Times New Roman"/>
                <w:sz w:val="24"/>
                <w:szCs w:val="27"/>
              </w:rPr>
              <w:t xml:space="preserve"> (1950), presented a love affair between a battered war hero, Colonel Richard Cantwell, and a much younger, Venetian woman, Renata. The novel takes place on the last day of Cantwell’s life, with much of it told in flashback and through layers of symbolism. It was a critical failure, unlike Hemingway’s other novel of that decade, </w:t>
            </w:r>
            <w:r w:rsidRPr="008269F2">
              <w:rPr>
                <w:rFonts w:ascii="Times New Roman" w:hAnsi="Times New Roman"/>
                <w:i/>
                <w:sz w:val="24"/>
                <w:szCs w:val="27"/>
              </w:rPr>
              <w:t>The Old Man and the Sea</w:t>
            </w:r>
            <w:r w:rsidRPr="008269F2">
              <w:rPr>
                <w:rFonts w:ascii="Times New Roman" w:hAnsi="Times New Roman"/>
                <w:sz w:val="24"/>
                <w:szCs w:val="27"/>
              </w:rPr>
              <w:t xml:space="preserve"> (1952), which tells the story of an aging Cuban fisherman who catches a massive marlin only to have sharks destroy it before he is able to bring it back to land. </w:t>
            </w:r>
            <w:r w:rsidRPr="008269F2">
              <w:rPr>
                <w:rFonts w:ascii="Times New Roman" w:hAnsi="Times New Roman"/>
                <w:i/>
                <w:sz w:val="24"/>
                <w:szCs w:val="27"/>
              </w:rPr>
              <w:t>Old Man</w:t>
            </w:r>
            <w:r w:rsidRPr="008269F2">
              <w:rPr>
                <w:rFonts w:ascii="Times New Roman" w:hAnsi="Times New Roman"/>
                <w:sz w:val="24"/>
                <w:szCs w:val="27"/>
              </w:rPr>
              <w:t xml:space="preserve"> won the Pulitzer Prize and helped to earn Hemingway the Nobel Prize in Literature in 1954.</w:t>
            </w:r>
          </w:p>
          <w:p w:rsidR="002975A0" w:rsidRPr="008269F2" w:rsidRDefault="002975A0" w:rsidP="002975A0">
            <w:pPr>
              <w:rPr>
                <w:rFonts w:ascii="Times New Roman" w:hAnsi="Times New Roman"/>
                <w:sz w:val="24"/>
                <w:szCs w:val="27"/>
              </w:rPr>
            </w:pPr>
            <w:r w:rsidRPr="008269F2">
              <w:rPr>
                <w:rFonts w:ascii="Times New Roman" w:hAnsi="Times New Roman"/>
                <w:sz w:val="24"/>
                <w:szCs w:val="27"/>
              </w:rPr>
              <w:t xml:space="preserve">Since Hemingway’s death on July 2, 1961, fourteen books containing previously uncollected or unpublished material have been published under his name. The first of these, </w:t>
            </w:r>
            <w:r w:rsidRPr="008269F2">
              <w:rPr>
                <w:rFonts w:ascii="Times New Roman" w:hAnsi="Times New Roman"/>
                <w:i/>
                <w:sz w:val="24"/>
                <w:szCs w:val="27"/>
              </w:rPr>
              <w:t>A Moveable Feast</w:t>
            </w:r>
            <w:r w:rsidRPr="008269F2">
              <w:rPr>
                <w:rFonts w:ascii="Times New Roman" w:hAnsi="Times New Roman"/>
                <w:sz w:val="24"/>
                <w:szCs w:val="27"/>
              </w:rPr>
              <w:t xml:space="preserve"> (1964), was a fictionalized and melancholic memoir of his early years in Paris as a young writer, husband, and father. A version of this memoir published in 2009 restored material cut from the original manuscript. The posthumous publications have also included some of the more transgressive and controversial material from the Hemingway canon. </w:t>
            </w:r>
            <w:r w:rsidRPr="008269F2">
              <w:rPr>
                <w:rFonts w:ascii="Times New Roman" w:hAnsi="Times New Roman"/>
                <w:i/>
                <w:sz w:val="24"/>
                <w:szCs w:val="27"/>
              </w:rPr>
              <w:t>The Garden of Eden</w:t>
            </w:r>
            <w:r w:rsidRPr="008269F2">
              <w:rPr>
                <w:rFonts w:ascii="Times New Roman" w:hAnsi="Times New Roman"/>
                <w:sz w:val="24"/>
                <w:szCs w:val="27"/>
              </w:rPr>
              <w:t xml:space="preserve"> (1986), a heavily edited version of a lengthy and unfinished manuscript, tells the story of a threesome consisting of two women and one man (the manuscript includes a second threesome composed of two men and one woman) engaged in gender reversals, lesbianism, wife sharing, hair fetishism, and obsessions with changing racial identities. Critics subsequently argued that most of these interests had been present in Hemingway’s work all along, and biographies such as Kenneth Lynn’s controversial </w:t>
            </w:r>
            <w:r w:rsidRPr="008269F2">
              <w:rPr>
                <w:rFonts w:ascii="Times New Roman" w:hAnsi="Times New Roman"/>
                <w:i/>
                <w:sz w:val="24"/>
                <w:szCs w:val="27"/>
              </w:rPr>
              <w:t>Hemingway</w:t>
            </w:r>
            <w:r w:rsidRPr="008269F2">
              <w:rPr>
                <w:rFonts w:ascii="Times New Roman" w:hAnsi="Times New Roman"/>
                <w:sz w:val="24"/>
                <w:szCs w:val="27"/>
              </w:rPr>
              <w:t xml:space="preserve"> (1987) suggested that Hemingway’s own gender identity had been confused by his mother’s same-sex twinning of him and his older sister when they were children. Other posthumous work includes </w:t>
            </w:r>
            <w:r w:rsidRPr="008269F2">
              <w:rPr>
                <w:rFonts w:ascii="Times New Roman" w:hAnsi="Times New Roman"/>
                <w:i/>
                <w:sz w:val="24"/>
                <w:szCs w:val="27"/>
              </w:rPr>
              <w:t>Islands in the Stream</w:t>
            </w:r>
            <w:r w:rsidRPr="008269F2">
              <w:rPr>
                <w:rFonts w:ascii="Times New Roman" w:hAnsi="Times New Roman"/>
                <w:sz w:val="24"/>
                <w:szCs w:val="27"/>
              </w:rPr>
              <w:t xml:space="preserve"> (1970), </w:t>
            </w:r>
            <w:r w:rsidRPr="008269F2">
              <w:rPr>
                <w:rFonts w:ascii="Times New Roman" w:hAnsi="Times New Roman"/>
                <w:i/>
                <w:sz w:val="24"/>
                <w:szCs w:val="27"/>
              </w:rPr>
              <w:t>The Nick Adams Stories</w:t>
            </w:r>
            <w:r w:rsidRPr="008269F2">
              <w:rPr>
                <w:rFonts w:ascii="Times New Roman" w:hAnsi="Times New Roman"/>
                <w:sz w:val="24"/>
                <w:szCs w:val="27"/>
              </w:rPr>
              <w:t xml:space="preserve"> (1972), </w:t>
            </w:r>
            <w:r w:rsidRPr="008269F2">
              <w:rPr>
                <w:rFonts w:ascii="Times New Roman" w:hAnsi="Times New Roman"/>
                <w:i/>
                <w:sz w:val="24"/>
                <w:szCs w:val="27"/>
              </w:rPr>
              <w:t>Complete Poems</w:t>
            </w:r>
            <w:r w:rsidRPr="008269F2">
              <w:rPr>
                <w:rFonts w:ascii="Times New Roman" w:hAnsi="Times New Roman"/>
                <w:sz w:val="24"/>
                <w:szCs w:val="27"/>
              </w:rPr>
              <w:t xml:space="preserve"> (1979; rev. ed. 1983), </w:t>
            </w:r>
            <w:r w:rsidRPr="008269F2">
              <w:rPr>
                <w:rFonts w:ascii="Times New Roman" w:hAnsi="Times New Roman"/>
                <w:i/>
                <w:sz w:val="24"/>
                <w:szCs w:val="27"/>
              </w:rPr>
              <w:t>The Dangerous Summer</w:t>
            </w:r>
            <w:r w:rsidRPr="008269F2">
              <w:rPr>
                <w:rFonts w:ascii="Times New Roman" w:hAnsi="Times New Roman"/>
                <w:sz w:val="24"/>
                <w:szCs w:val="27"/>
              </w:rPr>
              <w:t xml:space="preserve"> (1985), </w:t>
            </w:r>
            <w:r w:rsidRPr="008269F2">
              <w:rPr>
                <w:rFonts w:ascii="Times New Roman" w:hAnsi="Times New Roman"/>
                <w:i/>
                <w:sz w:val="24"/>
                <w:szCs w:val="27"/>
              </w:rPr>
              <w:t>The Complete Short Stories of Ernest Hemingway</w:t>
            </w:r>
            <w:r w:rsidRPr="008269F2">
              <w:rPr>
                <w:rFonts w:ascii="Times New Roman" w:hAnsi="Times New Roman"/>
                <w:sz w:val="24"/>
                <w:szCs w:val="27"/>
              </w:rPr>
              <w:t xml:space="preserve"> (Finca Vigía ed., 1998), and </w:t>
            </w:r>
            <w:r w:rsidRPr="008269F2">
              <w:rPr>
                <w:rFonts w:ascii="Times New Roman" w:hAnsi="Times New Roman"/>
                <w:i/>
                <w:sz w:val="24"/>
                <w:szCs w:val="27"/>
              </w:rPr>
              <w:t>Under Kilimanjaro</w:t>
            </w:r>
            <w:r w:rsidRPr="008269F2">
              <w:rPr>
                <w:rFonts w:ascii="Times New Roman" w:hAnsi="Times New Roman"/>
                <w:sz w:val="24"/>
                <w:szCs w:val="27"/>
              </w:rPr>
              <w:t xml:space="preserve"> (2005). The latter, a fuller version of the manuscript on which </w:t>
            </w:r>
            <w:r w:rsidRPr="008269F2">
              <w:rPr>
                <w:rFonts w:ascii="Times New Roman" w:hAnsi="Times New Roman"/>
                <w:i/>
                <w:sz w:val="24"/>
                <w:szCs w:val="27"/>
              </w:rPr>
              <w:t>True at First Light</w:t>
            </w:r>
            <w:r w:rsidRPr="008269F2">
              <w:rPr>
                <w:rFonts w:ascii="Times New Roman" w:hAnsi="Times New Roman"/>
                <w:sz w:val="24"/>
                <w:szCs w:val="27"/>
              </w:rPr>
              <w:t xml:space="preserve"> (1999) was based, is about Hemingway’s second African safari (1953-54) during which he developed a more complex understanding of Africa, courted an African woman, and imagined himself becoming a member of the Wakamba tribe. Hemingway’s collected letters (over 6,000) are being published by Cambridge University Press. The richest repository of Hemingway manuscripts, photographs, and other materials is housed </w:t>
            </w:r>
            <w:r w:rsidRPr="008269F2">
              <w:rPr>
                <w:rFonts w:ascii="Times New Roman" w:hAnsi="Times New Roman"/>
                <w:sz w:val="24"/>
                <w:szCs w:val="27"/>
              </w:rPr>
              <w:lastRenderedPageBreak/>
              <w:t xml:space="preserve">in the Hemingway Collection at the John F. Kennedy Presidential Library and Museum in Boston: </w:t>
            </w:r>
            <w:hyperlink r:id="rId8" w:history="1">
              <w:r w:rsidRPr="008269F2">
                <w:rPr>
                  <w:rStyle w:val="Hyperlink"/>
                  <w:rFonts w:ascii="Times New Roman" w:hAnsi="Times New Roman"/>
                  <w:sz w:val="24"/>
                  <w:szCs w:val="27"/>
                </w:rPr>
                <w:t>http://www.jfklibrary.org/Research/The-Ernest-Hemingway-Collection.aspx</w:t>
              </w:r>
            </w:hyperlink>
          </w:p>
          <w:p w:rsidR="002975A0" w:rsidRPr="008269F2" w:rsidRDefault="002975A0" w:rsidP="002975A0">
            <w:pPr>
              <w:rPr>
                <w:rFonts w:ascii="Times New Roman" w:hAnsi="Times New Roman"/>
                <w:sz w:val="24"/>
                <w:szCs w:val="27"/>
              </w:rPr>
            </w:pPr>
            <w:r w:rsidRPr="008269F2">
              <w:rPr>
                <w:rFonts w:ascii="Times New Roman" w:hAnsi="Times New Roman"/>
                <w:b/>
                <w:sz w:val="24"/>
                <w:szCs w:val="27"/>
              </w:rPr>
              <w:t>Chronology of All Works</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sz w:val="24"/>
                <w:szCs w:val="27"/>
              </w:rPr>
              <w:t>Collections</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Three Stories and Ten Poems</w:t>
            </w:r>
            <w:r w:rsidRPr="008269F2">
              <w:rPr>
                <w:rFonts w:ascii="Times New Roman" w:hAnsi="Times New Roman"/>
                <w:sz w:val="24"/>
                <w:szCs w:val="27"/>
              </w:rPr>
              <w:t xml:space="preserve"> (1923)</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in our time</w:t>
            </w:r>
            <w:r w:rsidRPr="008269F2">
              <w:rPr>
                <w:rFonts w:ascii="Times New Roman" w:hAnsi="Times New Roman"/>
                <w:sz w:val="24"/>
                <w:szCs w:val="27"/>
              </w:rPr>
              <w:t xml:space="preserve"> (1924)</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In Our Time</w:t>
            </w:r>
            <w:r w:rsidRPr="008269F2">
              <w:rPr>
                <w:rFonts w:ascii="Times New Roman" w:hAnsi="Times New Roman"/>
                <w:sz w:val="24"/>
                <w:szCs w:val="27"/>
              </w:rPr>
              <w:t xml:space="preserve"> (1925)</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Men Without Women</w:t>
            </w:r>
            <w:r w:rsidRPr="008269F2">
              <w:rPr>
                <w:rFonts w:ascii="Times New Roman" w:hAnsi="Times New Roman"/>
                <w:sz w:val="24"/>
                <w:szCs w:val="27"/>
              </w:rPr>
              <w:t xml:space="preserve"> (1927)</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Winner Take Nothing</w:t>
            </w:r>
            <w:r w:rsidRPr="008269F2">
              <w:rPr>
                <w:rFonts w:ascii="Times New Roman" w:hAnsi="Times New Roman"/>
                <w:sz w:val="24"/>
                <w:szCs w:val="27"/>
              </w:rPr>
              <w:t xml:space="preserve"> (1933)</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The Fifth Column and the First Forty-Nine Stories</w:t>
            </w:r>
            <w:r w:rsidRPr="008269F2">
              <w:rPr>
                <w:rFonts w:ascii="Times New Roman" w:hAnsi="Times New Roman"/>
                <w:sz w:val="24"/>
                <w:szCs w:val="27"/>
              </w:rPr>
              <w:t xml:space="preserve"> (1938)</w:t>
            </w:r>
          </w:p>
          <w:p w:rsidR="002975A0" w:rsidRPr="008269F2" w:rsidRDefault="002975A0" w:rsidP="002975A0">
            <w:pPr>
              <w:spacing w:line="240" w:lineRule="auto"/>
              <w:contextualSpacing/>
              <w:rPr>
                <w:rFonts w:ascii="Times New Roman" w:hAnsi="Times New Roman"/>
                <w:sz w:val="24"/>
                <w:szCs w:val="27"/>
              </w:rPr>
            </w:pP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sz w:val="24"/>
                <w:szCs w:val="27"/>
              </w:rPr>
              <w:t>Novels</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Torrents of Spring</w:t>
            </w:r>
            <w:r w:rsidRPr="008269F2">
              <w:rPr>
                <w:rFonts w:ascii="Times New Roman" w:hAnsi="Times New Roman"/>
                <w:sz w:val="24"/>
                <w:szCs w:val="27"/>
              </w:rPr>
              <w:t xml:space="preserve"> (1926)</w:t>
            </w:r>
          </w:p>
          <w:p w:rsidR="002975A0" w:rsidRPr="008269F2" w:rsidRDefault="002975A0" w:rsidP="002975A0">
            <w:pPr>
              <w:spacing w:line="240" w:lineRule="auto"/>
              <w:contextualSpacing/>
              <w:rPr>
                <w:rFonts w:ascii="Times New Roman" w:hAnsi="Times New Roman"/>
                <w:i/>
                <w:sz w:val="24"/>
                <w:szCs w:val="27"/>
              </w:rPr>
            </w:pPr>
            <w:r w:rsidRPr="008269F2">
              <w:rPr>
                <w:rFonts w:ascii="Times New Roman" w:hAnsi="Times New Roman"/>
                <w:i/>
                <w:sz w:val="24"/>
                <w:szCs w:val="27"/>
              </w:rPr>
              <w:t>The Sun Also Rises</w:t>
            </w:r>
            <w:r w:rsidRPr="008269F2">
              <w:rPr>
                <w:rFonts w:ascii="Times New Roman" w:hAnsi="Times New Roman"/>
                <w:sz w:val="24"/>
                <w:szCs w:val="27"/>
              </w:rPr>
              <w:t xml:space="preserve"> (1926)</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A Farewell to Arms</w:t>
            </w:r>
            <w:r w:rsidRPr="008269F2">
              <w:rPr>
                <w:rFonts w:ascii="Times New Roman" w:hAnsi="Times New Roman"/>
                <w:sz w:val="24"/>
                <w:szCs w:val="27"/>
              </w:rPr>
              <w:t xml:space="preserve"> (1929)</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To Have and Have Not</w:t>
            </w:r>
            <w:r w:rsidRPr="008269F2">
              <w:rPr>
                <w:rFonts w:ascii="Times New Roman" w:hAnsi="Times New Roman"/>
                <w:sz w:val="24"/>
                <w:szCs w:val="27"/>
              </w:rPr>
              <w:t xml:space="preserve"> (1937)</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For Whom the Bell Tolls</w:t>
            </w:r>
            <w:r w:rsidRPr="008269F2">
              <w:rPr>
                <w:rFonts w:ascii="Times New Roman" w:hAnsi="Times New Roman"/>
                <w:sz w:val="24"/>
                <w:szCs w:val="27"/>
              </w:rPr>
              <w:t xml:space="preserve"> (1940)</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Across the River and Into the Trees</w:t>
            </w:r>
            <w:r w:rsidRPr="008269F2">
              <w:rPr>
                <w:rFonts w:ascii="Times New Roman" w:hAnsi="Times New Roman"/>
                <w:sz w:val="24"/>
                <w:szCs w:val="27"/>
              </w:rPr>
              <w:t xml:space="preserve"> (1950)</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The Old Man and the Sea</w:t>
            </w:r>
            <w:r w:rsidRPr="008269F2">
              <w:rPr>
                <w:rFonts w:ascii="Times New Roman" w:hAnsi="Times New Roman"/>
                <w:sz w:val="24"/>
                <w:szCs w:val="27"/>
              </w:rPr>
              <w:t xml:space="preserve"> (1952)</w:t>
            </w:r>
          </w:p>
          <w:p w:rsidR="002975A0" w:rsidRPr="008269F2" w:rsidRDefault="002975A0" w:rsidP="002975A0">
            <w:pPr>
              <w:spacing w:line="240" w:lineRule="auto"/>
              <w:contextualSpacing/>
              <w:rPr>
                <w:rFonts w:ascii="Times New Roman" w:hAnsi="Times New Roman"/>
                <w:sz w:val="24"/>
                <w:szCs w:val="27"/>
              </w:rPr>
            </w:pP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sz w:val="24"/>
                <w:szCs w:val="27"/>
              </w:rPr>
              <w:t>Nonfiction</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Death in the Afternoon</w:t>
            </w:r>
            <w:r w:rsidRPr="008269F2">
              <w:rPr>
                <w:rFonts w:ascii="Times New Roman" w:hAnsi="Times New Roman"/>
                <w:sz w:val="24"/>
                <w:szCs w:val="27"/>
              </w:rPr>
              <w:t xml:space="preserve"> (1932)</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Green Hills of Africa</w:t>
            </w:r>
            <w:r w:rsidRPr="008269F2">
              <w:rPr>
                <w:rFonts w:ascii="Times New Roman" w:hAnsi="Times New Roman"/>
                <w:sz w:val="24"/>
                <w:szCs w:val="27"/>
              </w:rPr>
              <w:t xml:space="preserve"> (1935)</w:t>
            </w:r>
          </w:p>
          <w:p w:rsidR="002975A0" w:rsidRPr="008269F2" w:rsidRDefault="002975A0" w:rsidP="002975A0">
            <w:pPr>
              <w:spacing w:line="240" w:lineRule="auto"/>
              <w:contextualSpacing/>
              <w:rPr>
                <w:rFonts w:ascii="Times New Roman" w:hAnsi="Times New Roman"/>
                <w:sz w:val="24"/>
                <w:szCs w:val="27"/>
              </w:rPr>
            </w:pP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sz w:val="24"/>
                <w:szCs w:val="27"/>
              </w:rPr>
              <w:t>Posthumous Work</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A Moveable Feast</w:t>
            </w:r>
            <w:r w:rsidRPr="008269F2">
              <w:rPr>
                <w:rFonts w:ascii="Times New Roman" w:hAnsi="Times New Roman"/>
                <w:sz w:val="24"/>
                <w:szCs w:val="27"/>
              </w:rPr>
              <w:t xml:space="preserve"> (1964; restored ed. 2009)</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Islands in the Stream</w:t>
            </w:r>
            <w:r w:rsidRPr="008269F2">
              <w:rPr>
                <w:rFonts w:ascii="Times New Roman" w:hAnsi="Times New Roman"/>
                <w:sz w:val="24"/>
                <w:szCs w:val="27"/>
              </w:rPr>
              <w:t xml:space="preserve"> (1970)</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Complete Poems</w:t>
            </w:r>
            <w:r w:rsidRPr="008269F2">
              <w:rPr>
                <w:rFonts w:ascii="Times New Roman" w:hAnsi="Times New Roman"/>
                <w:sz w:val="24"/>
                <w:szCs w:val="27"/>
              </w:rPr>
              <w:t xml:space="preserve"> (1979; rev. ed. 1983)</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The Dangerous Summer</w:t>
            </w:r>
            <w:r w:rsidRPr="008269F2">
              <w:rPr>
                <w:rFonts w:ascii="Times New Roman" w:hAnsi="Times New Roman"/>
                <w:sz w:val="24"/>
                <w:szCs w:val="27"/>
              </w:rPr>
              <w:t xml:space="preserve"> (1985)</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The Garden of Eden</w:t>
            </w:r>
            <w:r w:rsidRPr="008269F2">
              <w:rPr>
                <w:rFonts w:ascii="Times New Roman" w:hAnsi="Times New Roman"/>
                <w:sz w:val="24"/>
                <w:szCs w:val="27"/>
              </w:rPr>
              <w:t xml:space="preserve"> (1986)</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The Complete Short Stories of Ernest Hemingway</w:t>
            </w:r>
            <w:r w:rsidRPr="008269F2">
              <w:rPr>
                <w:rFonts w:ascii="Times New Roman" w:hAnsi="Times New Roman"/>
                <w:sz w:val="24"/>
                <w:szCs w:val="27"/>
              </w:rPr>
              <w:t xml:space="preserve"> (1988)</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True at First Light</w:t>
            </w:r>
            <w:r w:rsidRPr="008269F2">
              <w:rPr>
                <w:rFonts w:ascii="Times New Roman" w:hAnsi="Times New Roman"/>
                <w:sz w:val="24"/>
                <w:szCs w:val="27"/>
              </w:rPr>
              <w:t xml:space="preserve"> (1999)</w:t>
            </w:r>
          </w:p>
          <w:p w:rsidR="002975A0" w:rsidRPr="008269F2" w:rsidRDefault="002975A0" w:rsidP="002975A0">
            <w:pPr>
              <w:spacing w:line="240" w:lineRule="auto"/>
              <w:contextualSpacing/>
              <w:rPr>
                <w:rFonts w:ascii="Times New Roman" w:hAnsi="Times New Roman"/>
                <w:sz w:val="24"/>
                <w:szCs w:val="27"/>
              </w:rPr>
            </w:pPr>
            <w:r w:rsidRPr="008269F2">
              <w:rPr>
                <w:rFonts w:ascii="Times New Roman" w:hAnsi="Times New Roman"/>
                <w:i/>
                <w:sz w:val="24"/>
                <w:szCs w:val="27"/>
              </w:rPr>
              <w:t>Under Kilimanjaro</w:t>
            </w:r>
            <w:r w:rsidRPr="008269F2">
              <w:rPr>
                <w:rFonts w:ascii="Times New Roman" w:hAnsi="Times New Roman"/>
                <w:sz w:val="24"/>
                <w:szCs w:val="27"/>
              </w:rPr>
              <w:t xml:space="preserve"> (2005)</w:t>
            </w:r>
          </w:p>
          <w:p w:rsidR="003F0D73" w:rsidRPr="00C65E9A" w:rsidRDefault="003F0D73" w:rsidP="00C65E9A">
            <w:pPr>
              <w:spacing w:after="0" w:line="240" w:lineRule="auto"/>
            </w:pPr>
          </w:p>
        </w:tc>
      </w:tr>
      <w:tr w:rsidR="003235A7" w:rsidRPr="00C65E9A" w:rsidTr="00C65E9A">
        <w:tc>
          <w:tcPr>
            <w:tcW w:w="9016" w:type="dxa"/>
            <w:shd w:val="clear" w:color="auto" w:fill="auto"/>
          </w:tcPr>
          <w:p w:rsidR="003235A7" w:rsidRDefault="003235A7" w:rsidP="00C65E9A">
            <w:pPr>
              <w:spacing w:after="0" w:line="240" w:lineRule="auto"/>
            </w:pPr>
            <w:r w:rsidRPr="00C65E9A">
              <w:rPr>
                <w:u w:val="single"/>
              </w:rPr>
              <w:lastRenderedPageBreak/>
              <w:t>Further reading</w:t>
            </w:r>
            <w:r w:rsidRPr="00C65E9A">
              <w:t>:</w:t>
            </w:r>
          </w:p>
          <w:p w:rsidR="0079018C" w:rsidRDefault="0079018C" w:rsidP="00C65E9A">
            <w:pPr>
              <w:spacing w:after="0" w:line="240" w:lineRule="auto"/>
              <w:rPr>
                <w:rFonts w:ascii="Times New Roman" w:hAnsi="Times New Roman"/>
                <w:sz w:val="24"/>
                <w:szCs w:val="27"/>
                <w:u w:val="single"/>
              </w:rPr>
            </w:pPr>
            <w:r w:rsidRPr="008269F2">
              <w:rPr>
                <w:rFonts w:ascii="Times New Roman" w:hAnsi="Times New Roman"/>
                <w:sz w:val="24"/>
                <w:szCs w:val="27"/>
                <w:u w:val="single"/>
              </w:rPr>
              <w:t>Biographical Works</w:t>
            </w:r>
          </w:p>
          <w:p w:rsidR="0079018C" w:rsidRDefault="0079018C" w:rsidP="00C65E9A">
            <w:pPr>
              <w:spacing w:after="0" w:line="240" w:lineRule="auto"/>
              <w:rPr>
                <w:rFonts w:ascii="Times New Roman" w:hAnsi="Times New Roman"/>
                <w:sz w:val="24"/>
                <w:szCs w:val="27"/>
                <w:u w:val="single"/>
              </w:rPr>
            </w:pPr>
            <w:sdt>
              <w:sdtPr>
                <w:rPr>
                  <w:rFonts w:ascii="Times New Roman" w:hAnsi="Times New Roman"/>
                  <w:sz w:val="24"/>
                  <w:szCs w:val="27"/>
                  <w:u w:val="single"/>
                </w:rPr>
                <w:id w:val="484593533"/>
                <w:citation/>
              </w:sdtPr>
              <w:sdtContent>
                <w:r>
                  <w:rPr>
                    <w:rFonts w:ascii="Times New Roman" w:hAnsi="Times New Roman"/>
                    <w:sz w:val="24"/>
                    <w:szCs w:val="27"/>
                    <w:u w:val="single"/>
                  </w:rPr>
                  <w:fldChar w:fldCharType="begin"/>
                </w:r>
                <w:r>
                  <w:rPr>
                    <w:rFonts w:ascii="Times New Roman" w:hAnsi="Times New Roman"/>
                    <w:sz w:val="24"/>
                    <w:szCs w:val="27"/>
                    <w:u w:val="single"/>
                    <w:lang w:val="en-CA"/>
                  </w:rPr>
                  <w:instrText xml:space="preserve"> CITATION Bak69 \l 4105 </w:instrText>
                </w:r>
                <w:r>
                  <w:rPr>
                    <w:rFonts w:ascii="Times New Roman" w:hAnsi="Times New Roman"/>
                    <w:sz w:val="24"/>
                    <w:szCs w:val="27"/>
                    <w:u w:val="single"/>
                  </w:rPr>
                  <w:fldChar w:fldCharType="separate"/>
                </w:r>
                <w:r w:rsidRPr="0079018C">
                  <w:rPr>
                    <w:rFonts w:ascii="Times New Roman" w:hAnsi="Times New Roman"/>
                    <w:noProof/>
                    <w:sz w:val="24"/>
                    <w:szCs w:val="27"/>
                    <w:lang w:val="en-CA"/>
                  </w:rPr>
                  <w:t>(Baker)</w:t>
                </w:r>
                <w:r>
                  <w:rPr>
                    <w:rFonts w:ascii="Times New Roman" w:hAnsi="Times New Roman"/>
                    <w:sz w:val="24"/>
                    <w:szCs w:val="27"/>
                    <w:u w:val="single"/>
                  </w:rPr>
                  <w:fldChar w:fldCharType="end"/>
                </w:r>
              </w:sdtContent>
            </w:sdt>
          </w:p>
          <w:p w:rsidR="0079018C" w:rsidRPr="00C65E9A" w:rsidRDefault="00526957" w:rsidP="00C65E9A">
            <w:pPr>
              <w:spacing w:after="0" w:line="240" w:lineRule="auto"/>
            </w:pPr>
            <w:sdt>
              <w:sdtPr>
                <w:id w:val="-287501367"/>
                <w:citation/>
              </w:sdtPr>
              <w:sdtContent>
                <w:r>
                  <w:fldChar w:fldCharType="begin"/>
                </w:r>
                <w:r>
                  <w:rPr>
                    <w:lang w:val="en-CA"/>
                  </w:rPr>
                  <w:instrText xml:space="preserve"> CITATION Lyn87 \l 4105 </w:instrText>
                </w:r>
                <w:r>
                  <w:fldChar w:fldCharType="separate"/>
                </w:r>
                <w:r w:rsidRPr="00526957">
                  <w:rPr>
                    <w:noProof/>
                    <w:lang w:val="en-CA"/>
                  </w:rPr>
                  <w:t>(Lynn)</w:t>
                </w:r>
                <w:r>
                  <w:fldChar w:fldCharType="end"/>
                </w:r>
              </w:sdtContent>
            </w:sdt>
          </w:p>
          <w:p w:rsidR="0079018C" w:rsidRPr="008269F2" w:rsidRDefault="00976AA6" w:rsidP="0079018C">
            <w:pPr>
              <w:spacing w:line="240" w:lineRule="auto"/>
              <w:contextualSpacing/>
              <w:rPr>
                <w:rFonts w:ascii="Times New Roman" w:hAnsi="Times New Roman"/>
                <w:sz w:val="24"/>
                <w:szCs w:val="27"/>
              </w:rPr>
            </w:pPr>
            <w:sdt>
              <w:sdtPr>
                <w:rPr>
                  <w:rFonts w:ascii="Times New Roman" w:hAnsi="Times New Roman"/>
                  <w:sz w:val="24"/>
                  <w:szCs w:val="27"/>
                </w:rPr>
                <w:id w:val="1572230339"/>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Mel92 \l 4105 </w:instrText>
                </w:r>
                <w:r>
                  <w:rPr>
                    <w:rFonts w:ascii="Times New Roman" w:hAnsi="Times New Roman"/>
                    <w:sz w:val="24"/>
                    <w:szCs w:val="27"/>
                  </w:rPr>
                  <w:fldChar w:fldCharType="separate"/>
                </w:r>
                <w:r w:rsidRPr="00976AA6">
                  <w:rPr>
                    <w:rFonts w:ascii="Times New Roman" w:hAnsi="Times New Roman"/>
                    <w:noProof/>
                    <w:sz w:val="24"/>
                    <w:szCs w:val="27"/>
                    <w:lang w:val="en-CA"/>
                  </w:rPr>
                  <w:t>(Mellow)</w:t>
                </w:r>
                <w:r>
                  <w:rPr>
                    <w:rFonts w:ascii="Times New Roman" w:hAnsi="Times New Roman"/>
                    <w:sz w:val="24"/>
                    <w:szCs w:val="27"/>
                  </w:rPr>
                  <w:fldChar w:fldCharType="end"/>
                </w:r>
              </w:sdtContent>
            </w:sdt>
          </w:p>
          <w:p w:rsidR="0079018C" w:rsidRPr="008269F2" w:rsidRDefault="002D5030" w:rsidP="0079018C">
            <w:pPr>
              <w:spacing w:line="240" w:lineRule="auto"/>
              <w:contextualSpacing/>
              <w:rPr>
                <w:rFonts w:ascii="Times New Roman" w:hAnsi="Times New Roman"/>
                <w:sz w:val="24"/>
                <w:szCs w:val="27"/>
              </w:rPr>
            </w:pPr>
            <w:sdt>
              <w:sdtPr>
                <w:rPr>
                  <w:rFonts w:ascii="Times New Roman" w:hAnsi="Times New Roman"/>
                  <w:sz w:val="24"/>
                  <w:szCs w:val="27"/>
                </w:rPr>
                <w:id w:val="1717007769"/>
                <w:citation/>
              </w:sdtPr>
              <w:sdtContent>
                <w:r>
                  <w:rPr>
                    <w:rFonts w:ascii="Times New Roman" w:hAnsi="Times New Roman"/>
                    <w:sz w:val="24"/>
                    <w:szCs w:val="27"/>
                  </w:rPr>
                  <w:fldChar w:fldCharType="begin"/>
                </w:r>
                <w:r w:rsidR="00646BDF">
                  <w:rPr>
                    <w:rFonts w:ascii="Times New Roman" w:hAnsi="Times New Roman"/>
                    <w:sz w:val="24"/>
                    <w:szCs w:val="27"/>
                    <w:lang w:val="en-CA"/>
                  </w:rPr>
                  <w:instrText xml:space="preserve">CITATION Rey86 \l 4105 </w:instrText>
                </w:r>
                <w:r>
                  <w:rPr>
                    <w:rFonts w:ascii="Times New Roman" w:hAnsi="Times New Roman"/>
                    <w:sz w:val="24"/>
                    <w:szCs w:val="27"/>
                  </w:rPr>
                  <w:fldChar w:fldCharType="separate"/>
                </w:r>
                <w:r w:rsidR="00646BDF" w:rsidRPr="00646BDF">
                  <w:rPr>
                    <w:rFonts w:ascii="Times New Roman" w:hAnsi="Times New Roman"/>
                    <w:noProof/>
                    <w:sz w:val="24"/>
                    <w:szCs w:val="27"/>
                    <w:lang w:val="en-CA"/>
                  </w:rPr>
                  <w:t>(Reynolds, The Young Hemingway)</w:t>
                </w:r>
                <w:r>
                  <w:rPr>
                    <w:rFonts w:ascii="Times New Roman" w:hAnsi="Times New Roman"/>
                    <w:sz w:val="24"/>
                    <w:szCs w:val="27"/>
                  </w:rPr>
                  <w:fldChar w:fldCharType="end"/>
                </w:r>
              </w:sdtContent>
            </w:sdt>
          </w:p>
          <w:p w:rsidR="002D5030" w:rsidRDefault="00646BDF" w:rsidP="0079018C">
            <w:pPr>
              <w:spacing w:line="240" w:lineRule="auto"/>
              <w:contextualSpacing/>
              <w:rPr>
                <w:rFonts w:ascii="Times New Roman" w:hAnsi="Times New Roman"/>
                <w:sz w:val="24"/>
                <w:szCs w:val="27"/>
              </w:rPr>
            </w:pPr>
            <w:sdt>
              <w:sdtPr>
                <w:rPr>
                  <w:rFonts w:ascii="Times New Roman" w:hAnsi="Times New Roman"/>
                  <w:sz w:val="24"/>
                  <w:szCs w:val="27"/>
                </w:rPr>
                <w:id w:val="-825281433"/>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CITATION Rey89 \l 4105 </w:instrText>
                </w:r>
                <w:r>
                  <w:rPr>
                    <w:rFonts w:ascii="Times New Roman" w:hAnsi="Times New Roman"/>
                    <w:sz w:val="24"/>
                    <w:szCs w:val="27"/>
                  </w:rPr>
                  <w:fldChar w:fldCharType="separate"/>
                </w:r>
                <w:r w:rsidRPr="00646BDF">
                  <w:rPr>
                    <w:rFonts w:ascii="Times New Roman" w:hAnsi="Times New Roman"/>
                    <w:noProof/>
                    <w:sz w:val="24"/>
                    <w:szCs w:val="27"/>
                    <w:lang w:val="en-CA"/>
                  </w:rPr>
                  <w:t>(Reynolds, Hemingway: The Paris Years)</w:t>
                </w:r>
                <w:r>
                  <w:rPr>
                    <w:rFonts w:ascii="Times New Roman" w:hAnsi="Times New Roman"/>
                    <w:sz w:val="24"/>
                    <w:szCs w:val="27"/>
                  </w:rPr>
                  <w:fldChar w:fldCharType="end"/>
                </w:r>
              </w:sdtContent>
            </w:sdt>
          </w:p>
          <w:p w:rsidR="00646BDF" w:rsidRDefault="00646BDF" w:rsidP="0079018C">
            <w:pPr>
              <w:spacing w:line="240" w:lineRule="auto"/>
              <w:contextualSpacing/>
              <w:rPr>
                <w:rFonts w:ascii="Times New Roman" w:hAnsi="Times New Roman"/>
                <w:sz w:val="24"/>
                <w:szCs w:val="27"/>
              </w:rPr>
            </w:pPr>
            <w:sdt>
              <w:sdtPr>
                <w:rPr>
                  <w:rFonts w:ascii="Times New Roman" w:hAnsi="Times New Roman"/>
                  <w:sz w:val="24"/>
                  <w:szCs w:val="27"/>
                </w:rPr>
                <w:id w:val="-2076493146"/>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CITATION Rey92 \l 4105 </w:instrText>
                </w:r>
                <w:r>
                  <w:rPr>
                    <w:rFonts w:ascii="Times New Roman" w:hAnsi="Times New Roman"/>
                    <w:sz w:val="24"/>
                    <w:szCs w:val="27"/>
                  </w:rPr>
                  <w:fldChar w:fldCharType="separate"/>
                </w:r>
                <w:r w:rsidRPr="00646BDF">
                  <w:rPr>
                    <w:rFonts w:ascii="Times New Roman" w:hAnsi="Times New Roman"/>
                    <w:noProof/>
                    <w:sz w:val="24"/>
                    <w:szCs w:val="27"/>
                    <w:lang w:val="en-CA"/>
                  </w:rPr>
                  <w:t>(Reynolds, Hemingway: The Homecoming)</w:t>
                </w:r>
                <w:r>
                  <w:rPr>
                    <w:rFonts w:ascii="Times New Roman" w:hAnsi="Times New Roman"/>
                    <w:sz w:val="24"/>
                    <w:szCs w:val="27"/>
                  </w:rPr>
                  <w:fldChar w:fldCharType="end"/>
                </w:r>
              </w:sdtContent>
            </w:sdt>
          </w:p>
          <w:p w:rsidR="00646BDF" w:rsidRDefault="00646BDF" w:rsidP="0079018C">
            <w:pPr>
              <w:spacing w:line="240" w:lineRule="auto"/>
              <w:contextualSpacing/>
              <w:rPr>
                <w:rFonts w:ascii="Times New Roman" w:hAnsi="Times New Roman"/>
                <w:sz w:val="24"/>
                <w:szCs w:val="27"/>
              </w:rPr>
            </w:pPr>
            <w:sdt>
              <w:sdtPr>
                <w:rPr>
                  <w:rFonts w:ascii="Times New Roman" w:hAnsi="Times New Roman"/>
                  <w:sz w:val="24"/>
                  <w:szCs w:val="27"/>
                </w:rPr>
                <w:id w:val="-360667021"/>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Rey97 \l 4105 </w:instrText>
                </w:r>
                <w:r>
                  <w:rPr>
                    <w:rFonts w:ascii="Times New Roman" w:hAnsi="Times New Roman"/>
                    <w:sz w:val="24"/>
                    <w:szCs w:val="27"/>
                  </w:rPr>
                  <w:fldChar w:fldCharType="separate"/>
                </w:r>
                <w:r w:rsidRPr="00646BDF">
                  <w:rPr>
                    <w:rFonts w:ascii="Times New Roman" w:hAnsi="Times New Roman"/>
                    <w:noProof/>
                    <w:sz w:val="24"/>
                    <w:szCs w:val="27"/>
                    <w:lang w:val="en-CA"/>
                  </w:rPr>
                  <w:t>(Reynolds, Hemingway: The 1930s)</w:t>
                </w:r>
                <w:r>
                  <w:rPr>
                    <w:rFonts w:ascii="Times New Roman" w:hAnsi="Times New Roman"/>
                    <w:sz w:val="24"/>
                    <w:szCs w:val="27"/>
                  </w:rPr>
                  <w:fldChar w:fldCharType="end"/>
                </w:r>
              </w:sdtContent>
            </w:sdt>
          </w:p>
          <w:p w:rsidR="00646BDF" w:rsidRDefault="00646BDF" w:rsidP="0079018C">
            <w:pPr>
              <w:spacing w:line="240" w:lineRule="auto"/>
              <w:contextualSpacing/>
              <w:rPr>
                <w:rFonts w:ascii="Times New Roman" w:hAnsi="Times New Roman"/>
                <w:sz w:val="24"/>
                <w:szCs w:val="27"/>
              </w:rPr>
            </w:pPr>
            <w:sdt>
              <w:sdtPr>
                <w:rPr>
                  <w:rFonts w:ascii="Times New Roman" w:hAnsi="Times New Roman"/>
                  <w:sz w:val="24"/>
                  <w:szCs w:val="27"/>
                </w:rPr>
                <w:id w:val="-1806457424"/>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Rey99 \l 4105 </w:instrText>
                </w:r>
                <w:r>
                  <w:rPr>
                    <w:rFonts w:ascii="Times New Roman" w:hAnsi="Times New Roman"/>
                    <w:sz w:val="24"/>
                    <w:szCs w:val="27"/>
                  </w:rPr>
                  <w:fldChar w:fldCharType="separate"/>
                </w:r>
                <w:r w:rsidRPr="00646BDF">
                  <w:rPr>
                    <w:rFonts w:ascii="Times New Roman" w:hAnsi="Times New Roman"/>
                    <w:noProof/>
                    <w:sz w:val="24"/>
                    <w:szCs w:val="27"/>
                    <w:lang w:val="en-CA"/>
                  </w:rPr>
                  <w:t>(Reynolds, Hemingway: The Final Years)</w:t>
                </w:r>
                <w:r>
                  <w:rPr>
                    <w:rFonts w:ascii="Times New Roman" w:hAnsi="Times New Roman"/>
                    <w:sz w:val="24"/>
                    <w:szCs w:val="27"/>
                  </w:rPr>
                  <w:fldChar w:fldCharType="end"/>
                </w:r>
              </w:sdtContent>
            </w:sdt>
          </w:p>
          <w:p w:rsidR="0079018C" w:rsidRPr="008269F2" w:rsidRDefault="00646BDF" w:rsidP="005517DD">
            <w:pPr>
              <w:spacing w:line="240" w:lineRule="auto"/>
              <w:contextualSpacing/>
              <w:rPr>
                <w:rFonts w:ascii="Times New Roman" w:hAnsi="Times New Roman"/>
                <w:sz w:val="24"/>
                <w:szCs w:val="27"/>
              </w:rPr>
            </w:pPr>
            <w:sdt>
              <w:sdtPr>
                <w:rPr>
                  <w:rFonts w:ascii="Times New Roman" w:hAnsi="Times New Roman"/>
                  <w:sz w:val="24"/>
                  <w:szCs w:val="27"/>
                </w:rPr>
                <w:id w:val="-385792098"/>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Wag07 \l 4105 </w:instrText>
                </w:r>
                <w:r>
                  <w:rPr>
                    <w:rFonts w:ascii="Times New Roman" w:hAnsi="Times New Roman"/>
                    <w:sz w:val="24"/>
                    <w:szCs w:val="27"/>
                  </w:rPr>
                  <w:fldChar w:fldCharType="separate"/>
                </w:r>
                <w:r w:rsidRPr="00646BDF">
                  <w:rPr>
                    <w:rFonts w:ascii="Times New Roman" w:hAnsi="Times New Roman"/>
                    <w:noProof/>
                    <w:sz w:val="24"/>
                    <w:szCs w:val="27"/>
                    <w:lang w:val="en-CA"/>
                  </w:rPr>
                  <w:t>(Wagner-Martin)</w:t>
                </w:r>
                <w:r>
                  <w:rPr>
                    <w:rFonts w:ascii="Times New Roman" w:hAnsi="Times New Roman"/>
                    <w:sz w:val="24"/>
                    <w:szCs w:val="27"/>
                  </w:rPr>
                  <w:fldChar w:fldCharType="end"/>
                </w:r>
              </w:sdtContent>
            </w:sdt>
          </w:p>
          <w:p w:rsidR="0079018C" w:rsidRPr="008269F2" w:rsidRDefault="0079018C" w:rsidP="0079018C">
            <w:pPr>
              <w:spacing w:line="240" w:lineRule="auto"/>
              <w:ind w:left="720" w:hanging="720"/>
              <w:contextualSpacing/>
              <w:rPr>
                <w:rFonts w:ascii="Times New Roman" w:hAnsi="Times New Roman"/>
                <w:sz w:val="24"/>
                <w:szCs w:val="27"/>
              </w:rPr>
            </w:pPr>
          </w:p>
          <w:p w:rsidR="0079018C" w:rsidRPr="008269F2" w:rsidRDefault="0079018C" w:rsidP="0079018C">
            <w:pPr>
              <w:spacing w:line="240" w:lineRule="auto"/>
              <w:ind w:left="720" w:hanging="720"/>
              <w:contextualSpacing/>
              <w:rPr>
                <w:rFonts w:ascii="Times New Roman" w:hAnsi="Times New Roman"/>
                <w:sz w:val="24"/>
                <w:szCs w:val="27"/>
                <w:u w:val="single"/>
              </w:rPr>
            </w:pPr>
            <w:r w:rsidRPr="008269F2">
              <w:rPr>
                <w:rFonts w:ascii="Times New Roman" w:hAnsi="Times New Roman"/>
                <w:sz w:val="24"/>
                <w:szCs w:val="27"/>
                <w:u w:val="single"/>
              </w:rPr>
              <w:t>Critical Works</w:t>
            </w:r>
          </w:p>
          <w:p w:rsidR="0079018C" w:rsidRDefault="00DC520B" w:rsidP="0079018C">
            <w:pPr>
              <w:spacing w:line="240" w:lineRule="auto"/>
              <w:ind w:left="720" w:hanging="720"/>
              <w:contextualSpacing/>
              <w:rPr>
                <w:rFonts w:ascii="Times New Roman" w:hAnsi="Times New Roman"/>
                <w:sz w:val="24"/>
                <w:szCs w:val="27"/>
              </w:rPr>
            </w:pPr>
            <w:sdt>
              <w:sdtPr>
                <w:rPr>
                  <w:rFonts w:ascii="Times New Roman" w:hAnsi="Times New Roman"/>
                  <w:sz w:val="24"/>
                  <w:szCs w:val="27"/>
                </w:rPr>
                <w:id w:val="1817993562"/>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Bur96 \l 4105 </w:instrText>
                </w:r>
                <w:r>
                  <w:rPr>
                    <w:rFonts w:ascii="Times New Roman" w:hAnsi="Times New Roman"/>
                    <w:sz w:val="24"/>
                    <w:szCs w:val="27"/>
                  </w:rPr>
                  <w:fldChar w:fldCharType="separate"/>
                </w:r>
                <w:r w:rsidRPr="00DC520B">
                  <w:rPr>
                    <w:rFonts w:ascii="Times New Roman" w:hAnsi="Times New Roman"/>
                    <w:noProof/>
                    <w:sz w:val="24"/>
                    <w:szCs w:val="27"/>
                    <w:lang w:val="en-CA"/>
                  </w:rPr>
                  <w:t>(Burwell)</w:t>
                </w:r>
                <w:r>
                  <w:rPr>
                    <w:rFonts w:ascii="Times New Roman" w:hAnsi="Times New Roman"/>
                    <w:sz w:val="24"/>
                    <w:szCs w:val="27"/>
                  </w:rPr>
                  <w:fldChar w:fldCharType="end"/>
                </w:r>
              </w:sdtContent>
            </w:sdt>
          </w:p>
          <w:p w:rsidR="0079018C" w:rsidRPr="008269F2" w:rsidRDefault="00EE112B" w:rsidP="00DC520B">
            <w:pPr>
              <w:spacing w:line="240" w:lineRule="auto"/>
              <w:contextualSpacing/>
              <w:rPr>
                <w:rFonts w:ascii="Times New Roman" w:hAnsi="Times New Roman"/>
                <w:sz w:val="24"/>
                <w:szCs w:val="27"/>
              </w:rPr>
            </w:pPr>
            <w:sdt>
              <w:sdtPr>
                <w:rPr>
                  <w:rFonts w:ascii="Times New Roman" w:hAnsi="Times New Roman"/>
                  <w:sz w:val="24"/>
                  <w:szCs w:val="27"/>
                </w:rPr>
                <w:id w:val="-1753120961"/>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Com96 \l 4105 </w:instrText>
                </w:r>
                <w:r>
                  <w:rPr>
                    <w:rFonts w:ascii="Times New Roman" w:hAnsi="Times New Roman"/>
                    <w:sz w:val="24"/>
                    <w:szCs w:val="27"/>
                  </w:rPr>
                  <w:fldChar w:fldCharType="separate"/>
                </w:r>
                <w:r w:rsidRPr="00EE112B">
                  <w:rPr>
                    <w:rFonts w:ascii="Times New Roman" w:hAnsi="Times New Roman"/>
                    <w:noProof/>
                    <w:sz w:val="24"/>
                    <w:szCs w:val="27"/>
                    <w:lang w:val="en-CA"/>
                  </w:rPr>
                  <w:t>(Comley and Scholes)</w:t>
                </w:r>
                <w:r>
                  <w:rPr>
                    <w:rFonts w:ascii="Times New Roman" w:hAnsi="Times New Roman"/>
                    <w:sz w:val="24"/>
                    <w:szCs w:val="27"/>
                  </w:rPr>
                  <w:fldChar w:fldCharType="end"/>
                </w:r>
              </w:sdtContent>
            </w:sdt>
          </w:p>
          <w:p w:rsidR="0079018C" w:rsidRPr="008269F2" w:rsidRDefault="00EE112B" w:rsidP="0079018C">
            <w:pPr>
              <w:spacing w:line="240" w:lineRule="auto"/>
              <w:ind w:left="720" w:hanging="720"/>
              <w:contextualSpacing/>
              <w:rPr>
                <w:rFonts w:ascii="Times New Roman" w:hAnsi="Times New Roman"/>
                <w:sz w:val="24"/>
                <w:szCs w:val="27"/>
              </w:rPr>
            </w:pPr>
            <w:sdt>
              <w:sdtPr>
                <w:rPr>
                  <w:rFonts w:ascii="Times New Roman" w:hAnsi="Times New Roman"/>
                  <w:sz w:val="24"/>
                  <w:szCs w:val="27"/>
                </w:rPr>
                <w:id w:val="1358231121"/>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CITATION Car99 \l 4105 </w:instrText>
                </w:r>
                <w:r>
                  <w:rPr>
                    <w:rFonts w:ascii="Times New Roman" w:hAnsi="Times New Roman"/>
                    <w:sz w:val="24"/>
                    <w:szCs w:val="27"/>
                  </w:rPr>
                  <w:fldChar w:fldCharType="separate"/>
                </w:r>
                <w:r w:rsidRPr="00EE112B">
                  <w:rPr>
                    <w:rFonts w:ascii="Times New Roman" w:hAnsi="Times New Roman"/>
                    <w:noProof/>
                    <w:sz w:val="24"/>
                    <w:szCs w:val="27"/>
                    <w:lang w:val="en-CA"/>
                  </w:rPr>
                  <w:t>(Eby)</w:t>
                </w:r>
                <w:r>
                  <w:rPr>
                    <w:rFonts w:ascii="Times New Roman" w:hAnsi="Times New Roman"/>
                    <w:sz w:val="24"/>
                    <w:szCs w:val="27"/>
                  </w:rPr>
                  <w:fldChar w:fldCharType="end"/>
                </w:r>
              </w:sdtContent>
            </w:sdt>
          </w:p>
          <w:p w:rsidR="0079018C" w:rsidRPr="008269F2" w:rsidRDefault="00EE112B" w:rsidP="0079018C">
            <w:pPr>
              <w:spacing w:line="240" w:lineRule="auto"/>
              <w:ind w:left="720" w:hanging="720"/>
              <w:contextualSpacing/>
              <w:rPr>
                <w:rFonts w:ascii="Times New Roman" w:hAnsi="Times New Roman"/>
                <w:sz w:val="24"/>
                <w:szCs w:val="27"/>
              </w:rPr>
            </w:pPr>
            <w:sdt>
              <w:sdtPr>
                <w:rPr>
                  <w:rFonts w:ascii="Times New Roman" w:hAnsi="Times New Roman"/>
                  <w:sz w:val="24"/>
                  <w:szCs w:val="27"/>
                </w:rPr>
                <w:id w:val="-1757969709"/>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Str03 \l 4105 </w:instrText>
                </w:r>
                <w:r>
                  <w:rPr>
                    <w:rFonts w:ascii="Times New Roman" w:hAnsi="Times New Roman"/>
                    <w:sz w:val="24"/>
                    <w:szCs w:val="27"/>
                  </w:rPr>
                  <w:fldChar w:fldCharType="separate"/>
                </w:r>
                <w:r w:rsidRPr="00EE112B">
                  <w:rPr>
                    <w:rFonts w:ascii="Times New Roman" w:hAnsi="Times New Roman"/>
                    <w:noProof/>
                    <w:sz w:val="24"/>
                    <w:szCs w:val="27"/>
                    <w:lang w:val="en-CA"/>
                  </w:rPr>
                  <w:t>(Strychacz)</w:t>
                </w:r>
                <w:r>
                  <w:rPr>
                    <w:rFonts w:ascii="Times New Roman" w:hAnsi="Times New Roman"/>
                    <w:sz w:val="24"/>
                    <w:szCs w:val="27"/>
                  </w:rPr>
                  <w:fldChar w:fldCharType="end"/>
                </w:r>
              </w:sdtContent>
            </w:sdt>
          </w:p>
          <w:p w:rsidR="0079018C" w:rsidRDefault="00CE5151" w:rsidP="0079018C">
            <w:pPr>
              <w:spacing w:line="240" w:lineRule="auto"/>
              <w:ind w:left="720" w:hanging="720"/>
              <w:contextualSpacing/>
              <w:rPr>
                <w:rFonts w:ascii="Times New Roman" w:hAnsi="Times New Roman"/>
                <w:sz w:val="24"/>
                <w:szCs w:val="27"/>
              </w:rPr>
            </w:pPr>
            <w:sdt>
              <w:sdtPr>
                <w:rPr>
                  <w:rFonts w:ascii="Times New Roman" w:hAnsi="Times New Roman"/>
                  <w:sz w:val="24"/>
                  <w:szCs w:val="27"/>
                </w:rPr>
                <w:id w:val="-1969505307"/>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You52 \l 4105 </w:instrText>
                </w:r>
                <w:r>
                  <w:rPr>
                    <w:rFonts w:ascii="Times New Roman" w:hAnsi="Times New Roman"/>
                    <w:sz w:val="24"/>
                    <w:szCs w:val="27"/>
                  </w:rPr>
                  <w:fldChar w:fldCharType="separate"/>
                </w:r>
                <w:r w:rsidRPr="00CE5151">
                  <w:rPr>
                    <w:rFonts w:ascii="Times New Roman" w:hAnsi="Times New Roman"/>
                    <w:noProof/>
                    <w:sz w:val="24"/>
                    <w:szCs w:val="27"/>
                    <w:lang w:val="en-CA"/>
                  </w:rPr>
                  <w:t>(Young)</w:t>
                </w:r>
                <w:r>
                  <w:rPr>
                    <w:rFonts w:ascii="Times New Roman" w:hAnsi="Times New Roman"/>
                    <w:sz w:val="24"/>
                    <w:szCs w:val="27"/>
                  </w:rPr>
                  <w:fldChar w:fldCharType="end"/>
                </w:r>
              </w:sdtContent>
            </w:sdt>
          </w:p>
          <w:p w:rsidR="003235A7" w:rsidRPr="00F52C43" w:rsidRDefault="00F52C43" w:rsidP="00F52C43">
            <w:pPr>
              <w:spacing w:line="240" w:lineRule="auto"/>
              <w:ind w:left="720" w:hanging="720"/>
              <w:contextualSpacing/>
              <w:rPr>
                <w:rFonts w:ascii="Times New Roman" w:hAnsi="Times New Roman"/>
                <w:sz w:val="24"/>
                <w:szCs w:val="27"/>
              </w:rPr>
            </w:pPr>
            <w:sdt>
              <w:sdtPr>
                <w:rPr>
                  <w:rFonts w:ascii="Times New Roman" w:hAnsi="Times New Roman"/>
                  <w:sz w:val="24"/>
                  <w:szCs w:val="27"/>
                </w:rPr>
                <w:id w:val="-1463425844"/>
                <w:citation/>
              </w:sdtPr>
              <w:sdtContent>
                <w:r>
                  <w:rPr>
                    <w:rFonts w:ascii="Times New Roman" w:hAnsi="Times New Roman"/>
                    <w:sz w:val="24"/>
                    <w:szCs w:val="27"/>
                  </w:rPr>
                  <w:fldChar w:fldCharType="begin"/>
                </w:r>
                <w:r>
                  <w:rPr>
                    <w:rFonts w:ascii="Times New Roman" w:hAnsi="Times New Roman"/>
                    <w:sz w:val="24"/>
                    <w:szCs w:val="27"/>
                    <w:lang w:val="en-CA"/>
                  </w:rPr>
                  <w:instrText xml:space="preserve"> CITATION You66 \l 4105 </w:instrText>
                </w:r>
                <w:r>
                  <w:rPr>
                    <w:rFonts w:ascii="Times New Roman" w:hAnsi="Times New Roman"/>
                    <w:sz w:val="24"/>
                    <w:szCs w:val="27"/>
                  </w:rPr>
                  <w:fldChar w:fldCharType="separate"/>
                </w:r>
                <w:r w:rsidRPr="00F52C43">
                  <w:rPr>
                    <w:rFonts w:ascii="Times New Roman" w:hAnsi="Times New Roman"/>
                    <w:noProof/>
                    <w:sz w:val="24"/>
                    <w:szCs w:val="27"/>
                    <w:lang w:val="en-CA"/>
                  </w:rPr>
                  <w:t>(Young, Ernest Hemingway: A Reconsideration)</w:t>
                </w:r>
                <w:r>
                  <w:rPr>
                    <w:rFonts w:ascii="Times New Roman" w:hAnsi="Times New Roman"/>
                    <w:sz w:val="24"/>
                    <w:szCs w:val="27"/>
                  </w:rPr>
                  <w:fldChar w:fldCharType="end"/>
                </w:r>
              </w:sdtContent>
            </w:sdt>
            <w:bookmarkStart w:id="0" w:name="_GoBack"/>
            <w:bookmarkEnd w:id="0"/>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0C2" w:rsidRDefault="00E660C2" w:rsidP="007A0D55">
      <w:pPr>
        <w:spacing w:after="0" w:line="240" w:lineRule="auto"/>
      </w:pPr>
      <w:r>
        <w:separator/>
      </w:r>
    </w:p>
  </w:endnote>
  <w:endnote w:type="continuationSeparator" w:id="0">
    <w:p w:rsidR="00E660C2" w:rsidRDefault="00E660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0C2" w:rsidRDefault="00E660C2" w:rsidP="007A0D55">
      <w:pPr>
        <w:spacing w:after="0" w:line="240" w:lineRule="auto"/>
      </w:pPr>
      <w:r>
        <w:separator/>
      </w:r>
    </w:p>
  </w:footnote>
  <w:footnote w:type="continuationSeparator" w:id="0">
    <w:p w:rsidR="00E660C2" w:rsidRDefault="00E660C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C65E9A">
      <w:rPr>
        <w:b/>
        <w:color w:val="7F7F7F"/>
      </w:rPr>
      <w:t>Taylor &amp; Francis</w:t>
    </w:r>
    <w:r w:rsidRPr="00C65E9A">
      <w:rPr>
        <w:color w:val="7F7F7F"/>
      </w:rPr>
      <w:t xml:space="preserve"> – </w:t>
    </w:r>
    <w:r w:rsidRPr="00C65E9A">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9A"/>
    <w:rsid w:val="00032559"/>
    <w:rsid w:val="00052040"/>
    <w:rsid w:val="00084449"/>
    <w:rsid w:val="000B25AE"/>
    <w:rsid w:val="000B55AB"/>
    <w:rsid w:val="000D24DC"/>
    <w:rsid w:val="00101B2E"/>
    <w:rsid w:val="00116FA0"/>
    <w:rsid w:val="0015114C"/>
    <w:rsid w:val="001A21F3"/>
    <w:rsid w:val="001A2537"/>
    <w:rsid w:val="001A6A06"/>
    <w:rsid w:val="00202262"/>
    <w:rsid w:val="00210C03"/>
    <w:rsid w:val="002162E2"/>
    <w:rsid w:val="00225C5A"/>
    <w:rsid w:val="00230B10"/>
    <w:rsid w:val="00234353"/>
    <w:rsid w:val="00244BB0"/>
    <w:rsid w:val="002975A0"/>
    <w:rsid w:val="002A0A0D"/>
    <w:rsid w:val="002B0B37"/>
    <w:rsid w:val="002D5030"/>
    <w:rsid w:val="0030662D"/>
    <w:rsid w:val="003235A7"/>
    <w:rsid w:val="003677B6"/>
    <w:rsid w:val="003D3579"/>
    <w:rsid w:val="003E2795"/>
    <w:rsid w:val="003F0D73"/>
    <w:rsid w:val="0040591E"/>
    <w:rsid w:val="00462DBE"/>
    <w:rsid w:val="00464699"/>
    <w:rsid w:val="00483379"/>
    <w:rsid w:val="00487BC5"/>
    <w:rsid w:val="00496888"/>
    <w:rsid w:val="004A7476"/>
    <w:rsid w:val="004E5896"/>
    <w:rsid w:val="00513EE6"/>
    <w:rsid w:val="00526957"/>
    <w:rsid w:val="00534F8F"/>
    <w:rsid w:val="005517DD"/>
    <w:rsid w:val="00590035"/>
    <w:rsid w:val="005B177E"/>
    <w:rsid w:val="005B3921"/>
    <w:rsid w:val="005F26D7"/>
    <w:rsid w:val="005F5450"/>
    <w:rsid w:val="00646BDF"/>
    <w:rsid w:val="006D0412"/>
    <w:rsid w:val="007411B9"/>
    <w:rsid w:val="00741642"/>
    <w:rsid w:val="00780D95"/>
    <w:rsid w:val="00780DC7"/>
    <w:rsid w:val="0079018C"/>
    <w:rsid w:val="007A0D55"/>
    <w:rsid w:val="007B3377"/>
    <w:rsid w:val="007E5F44"/>
    <w:rsid w:val="00821DE3"/>
    <w:rsid w:val="00846CE1"/>
    <w:rsid w:val="008A5B87"/>
    <w:rsid w:val="00922950"/>
    <w:rsid w:val="00976AA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5E9A"/>
    <w:rsid w:val="00CC586D"/>
    <w:rsid w:val="00CE5151"/>
    <w:rsid w:val="00CE6EC4"/>
    <w:rsid w:val="00CF1542"/>
    <w:rsid w:val="00CF3EC5"/>
    <w:rsid w:val="00D0758A"/>
    <w:rsid w:val="00D656DA"/>
    <w:rsid w:val="00D83300"/>
    <w:rsid w:val="00DC520B"/>
    <w:rsid w:val="00DC6B48"/>
    <w:rsid w:val="00DF01B0"/>
    <w:rsid w:val="00E10D76"/>
    <w:rsid w:val="00E660C2"/>
    <w:rsid w:val="00E85A05"/>
    <w:rsid w:val="00E95829"/>
    <w:rsid w:val="00EA606C"/>
    <w:rsid w:val="00EB0C8C"/>
    <w:rsid w:val="00EB51FD"/>
    <w:rsid w:val="00EB77DB"/>
    <w:rsid w:val="00ED139F"/>
    <w:rsid w:val="00EE112B"/>
    <w:rsid w:val="00EF74F7"/>
    <w:rsid w:val="00F36937"/>
    <w:rsid w:val="00F52C43"/>
    <w:rsid w:val="00F60F53"/>
    <w:rsid w:val="00F61D6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85AD2-E9C1-46F9-8208-84099289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unhideWhenUsed/>
    <w:rsid w:val="002975A0"/>
    <w:rPr>
      <w:color w:val="0000FF"/>
      <w:u w:val="single"/>
    </w:rPr>
  </w:style>
  <w:style w:type="paragraph" w:styleId="EndnoteText">
    <w:name w:val="endnote text"/>
    <w:basedOn w:val="Normal"/>
    <w:link w:val="EndnoteTextChar"/>
    <w:uiPriority w:val="99"/>
    <w:unhideWhenUsed/>
    <w:rsid w:val="002975A0"/>
    <w:pPr>
      <w:spacing w:after="0" w:line="240" w:lineRule="auto"/>
    </w:pPr>
    <w:rPr>
      <w:rFonts w:asciiTheme="minorHAnsi" w:eastAsiaTheme="minorHAnsi" w:hAnsiTheme="minorHAnsi" w:cstheme="minorBidi"/>
      <w:sz w:val="20"/>
      <w:szCs w:val="20"/>
      <w:lang w:val="en-US"/>
    </w:rPr>
  </w:style>
  <w:style w:type="character" w:customStyle="1" w:styleId="EndnoteTextChar">
    <w:name w:val="Endnote Text Char"/>
    <w:basedOn w:val="DefaultParagraphFont"/>
    <w:link w:val="EndnoteText"/>
    <w:uiPriority w:val="99"/>
    <w:rsid w:val="002975A0"/>
    <w:rPr>
      <w:rFonts w:asciiTheme="minorHAnsi" w:eastAsiaTheme="minorHAnsi" w:hAnsiTheme="minorHAnsi" w:cstheme="minorBidi"/>
      <w:lang w:val="en-US" w:eastAsia="en-US"/>
    </w:rPr>
  </w:style>
  <w:style w:type="character" w:styleId="EndnoteReference">
    <w:name w:val="endnote reference"/>
    <w:basedOn w:val="DefaultParagraphFont"/>
    <w:uiPriority w:val="99"/>
    <w:semiHidden/>
    <w:unhideWhenUsed/>
    <w:rsid w:val="00297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6809">
      <w:bodyDiv w:val="1"/>
      <w:marLeft w:val="0"/>
      <w:marRight w:val="0"/>
      <w:marTop w:val="0"/>
      <w:marBottom w:val="0"/>
      <w:divBdr>
        <w:top w:val="none" w:sz="0" w:space="0" w:color="auto"/>
        <w:left w:val="none" w:sz="0" w:space="0" w:color="auto"/>
        <w:bottom w:val="none" w:sz="0" w:space="0" w:color="auto"/>
        <w:right w:val="none" w:sz="0" w:space="0" w:color="auto"/>
      </w:divBdr>
    </w:div>
    <w:div w:id="165169264">
      <w:bodyDiv w:val="1"/>
      <w:marLeft w:val="0"/>
      <w:marRight w:val="0"/>
      <w:marTop w:val="0"/>
      <w:marBottom w:val="0"/>
      <w:divBdr>
        <w:top w:val="none" w:sz="0" w:space="0" w:color="auto"/>
        <w:left w:val="none" w:sz="0" w:space="0" w:color="auto"/>
        <w:bottom w:val="none" w:sz="0" w:space="0" w:color="auto"/>
        <w:right w:val="none" w:sz="0" w:space="0" w:color="auto"/>
      </w:divBdr>
    </w:div>
    <w:div w:id="289022091">
      <w:bodyDiv w:val="1"/>
      <w:marLeft w:val="0"/>
      <w:marRight w:val="0"/>
      <w:marTop w:val="0"/>
      <w:marBottom w:val="0"/>
      <w:divBdr>
        <w:top w:val="none" w:sz="0" w:space="0" w:color="auto"/>
        <w:left w:val="none" w:sz="0" w:space="0" w:color="auto"/>
        <w:bottom w:val="none" w:sz="0" w:space="0" w:color="auto"/>
        <w:right w:val="none" w:sz="0" w:space="0" w:color="auto"/>
      </w:divBdr>
    </w:div>
    <w:div w:id="421803004">
      <w:bodyDiv w:val="1"/>
      <w:marLeft w:val="0"/>
      <w:marRight w:val="0"/>
      <w:marTop w:val="0"/>
      <w:marBottom w:val="0"/>
      <w:divBdr>
        <w:top w:val="none" w:sz="0" w:space="0" w:color="auto"/>
        <w:left w:val="none" w:sz="0" w:space="0" w:color="auto"/>
        <w:bottom w:val="none" w:sz="0" w:space="0" w:color="auto"/>
        <w:right w:val="none" w:sz="0" w:space="0" w:color="auto"/>
      </w:divBdr>
    </w:div>
    <w:div w:id="494344417">
      <w:bodyDiv w:val="1"/>
      <w:marLeft w:val="0"/>
      <w:marRight w:val="0"/>
      <w:marTop w:val="0"/>
      <w:marBottom w:val="0"/>
      <w:divBdr>
        <w:top w:val="none" w:sz="0" w:space="0" w:color="auto"/>
        <w:left w:val="none" w:sz="0" w:space="0" w:color="auto"/>
        <w:bottom w:val="none" w:sz="0" w:space="0" w:color="auto"/>
        <w:right w:val="none" w:sz="0" w:space="0" w:color="auto"/>
      </w:divBdr>
    </w:div>
    <w:div w:id="708187369">
      <w:bodyDiv w:val="1"/>
      <w:marLeft w:val="0"/>
      <w:marRight w:val="0"/>
      <w:marTop w:val="0"/>
      <w:marBottom w:val="0"/>
      <w:divBdr>
        <w:top w:val="none" w:sz="0" w:space="0" w:color="auto"/>
        <w:left w:val="none" w:sz="0" w:space="0" w:color="auto"/>
        <w:bottom w:val="none" w:sz="0" w:space="0" w:color="auto"/>
        <w:right w:val="none" w:sz="0" w:space="0" w:color="auto"/>
      </w:divBdr>
    </w:div>
    <w:div w:id="728458900">
      <w:bodyDiv w:val="1"/>
      <w:marLeft w:val="0"/>
      <w:marRight w:val="0"/>
      <w:marTop w:val="0"/>
      <w:marBottom w:val="0"/>
      <w:divBdr>
        <w:top w:val="none" w:sz="0" w:space="0" w:color="auto"/>
        <w:left w:val="none" w:sz="0" w:space="0" w:color="auto"/>
        <w:bottom w:val="none" w:sz="0" w:space="0" w:color="auto"/>
        <w:right w:val="none" w:sz="0" w:space="0" w:color="auto"/>
      </w:divBdr>
    </w:div>
    <w:div w:id="1117262091">
      <w:bodyDiv w:val="1"/>
      <w:marLeft w:val="0"/>
      <w:marRight w:val="0"/>
      <w:marTop w:val="0"/>
      <w:marBottom w:val="0"/>
      <w:divBdr>
        <w:top w:val="none" w:sz="0" w:space="0" w:color="auto"/>
        <w:left w:val="none" w:sz="0" w:space="0" w:color="auto"/>
        <w:bottom w:val="none" w:sz="0" w:space="0" w:color="auto"/>
        <w:right w:val="none" w:sz="0" w:space="0" w:color="auto"/>
      </w:divBdr>
    </w:div>
    <w:div w:id="1321471098">
      <w:bodyDiv w:val="1"/>
      <w:marLeft w:val="0"/>
      <w:marRight w:val="0"/>
      <w:marTop w:val="0"/>
      <w:marBottom w:val="0"/>
      <w:divBdr>
        <w:top w:val="none" w:sz="0" w:space="0" w:color="auto"/>
        <w:left w:val="none" w:sz="0" w:space="0" w:color="auto"/>
        <w:bottom w:val="none" w:sz="0" w:space="0" w:color="auto"/>
        <w:right w:val="none" w:sz="0" w:space="0" w:color="auto"/>
      </w:divBdr>
    </w:div>
    <w:div w:id="1349330111">
      <w:bodyDiv w:val="1"/>
      <w:marLeft w:val="0"/>
      <w:marRight w:val="0"/>
      <w:marTop w:val="0"/>
      <w:marBottom w:val="0"/>
      <w:divBdr>
        <w:top w:val="none" w:sz="0" w:space="0" w:color="auto"/>
        <w:left w:val="none" w:sz="0" w:space="0" w:color="auto"/>
        <w:bottom w:val="none" w:sz="0" w:space="0" w:color="auto"/>
        <w:right w:val="none" w:sz="0" w:space="0" w:color="auto"/>
      </w:divBdr>
    </w:div>
    <w:div w:id="1361516034">
      <w:bodyDiv w:val="1"/>
      <w:marLeft w:val="0"/>
      <w:marRight w:val="0"/>
      <w:marTop w:val="0"/>
      <w:marBottom w:val="0"/>
      <w:divBdr>
        <w:top w:val="none" w:sz="0" w:space="0" w:color="auto"/>
        <w:left w:val="none" w:sz="0" w:space="0" w:color="auto"/>
        <w:bottom w:val="none" w:sz="0" w:space="0" w:color="auto"/>
        <w:right w:val="none" w:sz="0" w:space="0" w:color="auto"/>
      </w:divBdr>
    </w:div>
    <w:div w:id="1462965589">
      <w:bodyDiv w:val="1"/>
      <w:marLeft w:val="0"/>
      <w:marRight w:val="0"/>
      <w:marTop w:val="0"/>
      <w:marBottom w:val="0"/>
      <w:divBdr>
        <w:top w:val="none" w:sz="0" w:space="0" w:color="auto"/>
        <w:left w:val="none" w:sz="0" w:space="0" w:color="auto"/>
        <w:bottom w:val="none" w:sz="0" w:space="0" w:color="auto"/>
        <w:right w:val="none" w:sz="0" w:space="0" w:color="auto"/>
      </w:divBdr>
    </w:div>
    <w:div w:id="1470244233">
      <w:bodyDiv w:val="1"/>
      <w:marLeft w:val="0"/>
      <w:marRight w:val="0"/>
      <w:marTop w:val="0"/>
      <w:marBottom w:val="0"/>
      <w:divBdr>
        <w:top w:val="none" w:sz="0" w:space="0" w:color="auto"/>
        <w:left w:val="none" w:sz="0" w:space="0" w:color="auto"/>
        <w:bottom w:val="none" w:sz="0" w:space="0" w:color="auto"/>
        <w:right w:val="none" w:sz="0" w:space="0" w:color="auto"/>
      </w:divBdr>
    </w:div>
    <w:div w:id="1583029877">
      <w:bodyDiv w:val="1"/>
      <w:marLeft w:val="0"/>
      <w:marRight w:val="0"/>
      <w:marTop w:val="0"/>
      <w:marBottom w:val="0"/>
      <w:divBdr>
        <w:top w:val="none" w:sz="0" w:space="0" w:color="auto"/>
        <w:left w:val="none" w:sz="0" w:space="0" w:color="auto"/>
        <w:bottom w:val="none" w:sz="0" w:space="0" w:color="auto"/>
        <w:right w:val="none" w:sz="0" w:space="0" w:color="auto"/>
      </w:divBdr>
    </w:div>
    <w:div w:id="1593125520">
      <w:bodyDiv w:val="1"/>
      <w:marLeft w:val="0"/>
      <w:marRight w:val="0"/>
      <w:marTop w:val="0"/>
      <w:marBottom w:val="0"/>
      <w:divBdr>
        <w:top w:val="none" w:sz="0" w:space="0" w:color="auto"/>
        <w:left w:val="none" w:sz="0" w:space="0" w:color="auto"/>
        <w:bottom w:val="none" w:sz="0" w:space="0" w:color="auto"/>
        <w:right w:val="none" w:sz="0" w:space="0" w:color="auto"/>
      </w:divBdr>
    </w:div>
    <w:div w:id="1598905302">
      <w:bodyDiv w:val="1"/>
      <w:marLeft w:val="0"/>
      <w:marRight w:val="0"/>
      <w:marTop w:val="0"/>
      <w:marBottom w:val="0"/>
      <w:divBdr>
        <w:top w:val="none" w:sz="0" w:space="0" w:color="auto"/>
        <w:left w:val="none" w:sz="0" w:space="0" w:color="auto"/>
        <w:bottom w:val="none" w:sz="0" w:space="0" w:color="auto"/>
        <w:right w:val="none" w:sz="0" w:space="0" w:color="auto"/>
      </w:divBdr>
    </w:div>
    <w:div w:id="1619410234">
      <w:bodyDiv w:val="1"/>
      <w:marLeft w:val="0"/>
      <w:marRight w:val="0"/>
      <w:marTop w:val="0"/>
      <w:marBottom w:val="0"/>
      <w:divBdr>
        <w:top w:val="none" w:sz="0" w:space="0" w:color="auto"/>
        <w:left w:val="none" w:sz="0" w:space="0" w:color="auto"/>
        <w:bottom w:val="none" w:sz="0" w:space="0" w:color="auto"/>
        <w:right w:val="none" w:sz="0" w:space="0" w:color="auto"/>
      </w:divBdr>
    </w:div>
    <w:div w:id="1623917758">
      <w:bodyDiv w:val="1"/>
      <w:marLeft w:val="0"/>
      <w:marRight w:val="0"/>
      <w:marTop w:val="0"/>
      <w:marBottom w:val="0"/>
      <w:divBdr>
        <w:top w:val="none" w:sz="0" w:space="0" w:color="auto"/>
        <w:left w:val="none" w:sz="0" w:space="0" w:color="auto"/>
        <w:bottom w:val="none" w:sz="0" w:space="0" w:color="auto"/>
        <w:right w:val="none" w:sz="0" w:space="0" w:color="auto"/>
      </w:divBdr>
    </w:div>
    <w:div w:id="1694645447">
      <w:bodyDiv w:val="1"/>
      <w:marLeft w:val="0"/>
      <w:marRight w:val="0"/>
      <w:marTop w:val="0"/>
      <w:marBottom w:val="0"/>
      <w:divBdr>
        <w:top w:val="none" w:sz="0" w:space="0" w:color="auto"/>
        <w:left w:val="none" w:sz="0" w:space="0" w:color="auto"/>
        <w:bottom w:val="none" w:sz="0" w:space="0" w:color="auto"/>
        <w:right w:val="none" w:sz="0" w:space="0" w:color="auto"/>
      </w:divBdr>
    </w:div>
    <w:div w:id="1704016507">
      <w:bodyDiv w:val="1"/>
      <w:marLeft w:val="0"/>
      <w:marRight w:val="0"/>
      <w:marTop w:val="0"/>
      <w:marBottom w:val="0"/>
      <w:divBdr>
        <w:top w:val="none" w:sz="0" w:space="0" w:color="auto"/>
        <w:left w:val="none" w:sz="0" w:space="0" w:color="auto"/>
        <w:bottom w:val="none" w:sz="0" w:space="0" w:color="auto"/>
        <w:right w:val="none" w:sz="0" w:space="0" w:color="auto"/>
      </w:divBdr>
    </w:div>
    <w:div w:id="1944335884">
      <w:bodyDiv w:val="1"/>
      <w:marLeft w:val="0"/>
      <w:marRight w:val="0"/>
      <w:marTop w:val="0"/>
      <w:marBottom w:val="0"/>
      <w:divBdr>
        <w:top w:val="none" w:sz="0" w:space="0" w:color="auto"/>
        <w:left w:val="none" w:sz="0" w:space="0" w:color="auto"/>
        <w:bottom w:val="none" w:sz="0" w:space="0" w:color="auto"/>
        <w:right w:val="none" w:sz="0" w:space="0" w:color="auto"/>
      </w:divBdr>
    </w:div>
    <w:div w:id="1962805397">
      <w:bodyDiv w:val="1"/>
      <w:marLeft w:val="0"/>
      <w:marRight w:val="0"/>
      <w:marTop w:val="0"/>
      <w:marBottom w:val="0"/>
      <w:divBdr>
        <w:top w:val="none" w:sz="0" w:space="0" w:color="auto"/>
        <w:left w:val="none" w:sz="0" w:space="0" w:color="auto"/>
        <w:bottom w:val="none" w:sz="0" w:space="0" w:color="auto"/>
        <w:right w:val="none" w:sz="0" w:space="0" w:color="auto"/>
      </w:divBdr>
    </w:div>
    <w:div w:id="2032100787">
      <w:bodyDiv w:val="1"/>
      <w:marLeft w:val="0"/>
      <w:marRight w:val="0"/>
      <w:marTop w:val="0"/>
      <w:marBottom w:val="0"/>
      <w:divBdr>
        <w:top w:val="none" w:sz="0" w:space="0" w:color="auto"/>
        <w:left w:val="none" w:sz="0" w:space="0" w:color="auto"/>
        <w:bottom w:val="none" w:sz="0" w:space="0" w:color="auto"/>
        <w:right w:val="none" w:sz="0" w:space="0" w:color="auto"/>
      </w:divBdr>
    </w:div>
    <w:div w:id="210692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fklibrary.org/Research/The-Ernest-Hemingway-Collect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EA"/>
    <w:rsid w:val="007C6DB9"/>
    <w:rsid w:val="00FB13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73B8F32F90F248A9BCEB14C12953EC28">
    <w:name w:val="73B8F32F90F248A9BCEB14C12953EC28"/>
    <w:pPr>
      <w:spacing w:after="160" w:line="259" w:lineRule="auto"/>
    </w:pPr>
    <w:rPr>
      <w:sz w:val="22"/>
      <w:szCs w:val="22"/>
    </w:rPr>
  </w:style>
  <w:style w:type="paragraph" w:customStyle="1" w:styleId="1BF575B642F3436785BB4BE65039D888">
    <w:name w:val="1BF575B642F3436785BB4BE65039D888"/>
    <w:pPr>
      <w:spacing w:after="160" w:line="259" w:lineRule="auto"/>
    </w:pPr>
    <w:rPr>
      <w:sz w:val="22"/>
      <w:szCs w:val="22"/>
    </w:rPr>
  </w:style>
  <w:style w:type="paragraph" w:customStyle="1" w:styleId="1E57BB755D10478186E63D4246BEEDC6">
    <w:name w:val="1E57BB755D10478186E63D4246BEEDC6"/>
    <w:pPr>
      <w:spacing w:after="160" w:line="259" w:lineRule="auto"/>
    </w:pPr>
    <w:rPr>
      <w:sz w:val="22"/>
      <w:szCs w:val="22"/>
    </w:rPr>
  </w:style>
  <w:style w:type="paragraph" w:customStyle="1" w:styleId="3F3C5935ACFA4B54B6B8D074D53F4755">
    <w:name w:val="3F3C5935ACFA4B54B6B8D074D53F4755"/>
    <w:pPr>
      <w:spacing w:after="160" w:line="259" w:lineRule="auto"/>
    </w:pPr>
    <w:rPr>
      <w:sz w:val="22"/>
      <w:szCs w:val="22"/>
    </w:rPr>
  </w:style>
  <w:style w:type="paragraph" w:customStyle="1" w:styleId="9CE0ED2BAE8F41BBA8CDD774EA975FA4">
    <w:name w:val="9CE0ED2BAE8F41BBA8CDD774EA975FA4"/>
    <w:pPr>
      <w:spacing w:after="160" w:line="259" w:lineRule="auto"/>
    </w:pPr>
    <w:rPr>
      <w:sz w:val="22"/>
      <w:szCs w:val="22"/>
    </w:rPr>
  </w:style>
  <w:style w:type="paragraph" w:customStyle="1" w:styleId="88F4A3D456784693B25AD5CF0EE278EA">
    <w:name w:val="88F4A3D456784693B25AD5CF0EE278EA"/>
    <w:pPr>
      <w:spacing w:after="160" w:line="259" w:lineRule="auto"/>
    </w:pPr>
    <w:rPr>
      <w:sz w:val="22"/>
      <w:szCs w:val="22"/>
    </w:rPr>
  </w:style>
  <w:style w:type="paragraph" w:customStyle="1" w:styleId="F1A94EA4373F4E15A7E15510A23AE5E8">
    <w:name w:val="F1A94EA4373F4E15A7E15510A23AE5E8"/>
    <w:pPr>
      <w:spacing w:after="160" w:line="259" w:lineRule="auto"/>
    </w:pPr>
    <w:rPr>
      <w:sz w:val="22"/>
      <w:szCs w:val="22"/>
    </w:rPr>
  </w:style>
  <w:style w:type="paragraph" w:customStyle="1" w:styleId="A2815DAEAF3E4163B8358208C12E888D">
    <w:name w:val="A2815DAEAF3E4163B8358208C12E888D"/>
    <w:pPr>
      <w:spacing w:after="160" w:line="259" w:lineRule="auto"/>
    </w:pPr>
    <w:rPr>
      <w:sz w:val="22"/>
      <w:szCs w:val="22"/>
    </w:rPr>
  </w:style>
  <w:style w:type="paragraph" w:customStyle="1" w:styleId="5660DC59CC854140B7FB376C1746DA5C">
    <w:name w:val="5660DC59CC854140B7FB376C1746DA5C"/>
    <w:pPr>
      <w:spacing w:after="160" w:line="259" w:lineRule="auto"/>
    </w:pPr>
    <w:rPr>
      <w:sz w:val="22"/>
      <w:szCs w:val="22"/>
    </w:rPr>
  </w:style>
  <w:style w:type="paragraph" w:customStyle="1" w:styleId="DF55073C4B694B4A990CD749724E70C6">
    <w:name w:val="DF55073C4B694B4A990CD749724E70C6"/>
    <w:pPr>
      <w:spacing w:after="160" w:line="259" w:lineRule="auto"/>
    </w:pPr>
    <w:rPr>
      <w:sz w:val="22"/>
      <w:szCs w:val="22"/>
    </w:rPr>
  </w:style>
  <w:style w:type="paragraph" w:customStyle="1" w:styleId="CAC4553BDA3647B685BD31352950B4B0">
    <w:name w:val="CAC4553BDA3647B685BD31352950B4B0"/>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Bak69</b:Tag>
    <b:SourceType>Book</b:SourceType>
    <b:Guid>{B1C68029-FE98-4C92-AAD6-3148F60710A7}</b:Guid>
    <b:Author>
      <b:Author>
        <b:NameList>
          <b:Person>
            <b:Last>Baker</b:Last>
            <b:First>Carlos</b:First>
          </b:Person>
        </b:NameList>
      </b:Author>
    </b:Author>
    <b:Title>Ernest Hemingway: A Life Story</b:Title>
    <b:Year>1969</b:Year>
    <b:City>New York</b:City>
    <b:Publisher>Scribner</b:Publisher>
    <b:RefOrder>1</b:RefOrder>
  </b:Source>
  <b:Source>
    <b:Tag>Lyn87</b:Tag>
    <b:SourceType>Book</b:SourceType>
    <b:Guid>{01D5CE0F-3102-4969-B33E-F767EDC651A9}</b:Guid>
    <b:Title>Hemingway</b:Title>
    <b:Year>1987</b:Year>
    <b:City>New York</b:City>
    <b:Publisher>Simon &amp; Schuster</b:Publisher>
    <b:Author>
      <b:Author>
        <b:NameList>
          <b:Person>
            <b:Last>Lynn</b:Last>
            <b:First>Kenneth</b:First>
          </b:Person>
        </b:NameList>
      </b:Author>
    </b:Author>
    <b:RefOrder>2</b:RefOrder>
  </b:Source>
  <b:Source>
    <b:Tag>Mel92</b:Tag>
    <b:SourceType>Book</b:SourceType>
    <b:Guid>{505F2158-87EC-4BBD-8B86-386DBF38025D}</b:Guid>
    <b:Title>Hemingway: A Life Without Consequences</b:Title>
    <b:Year>1992</b:Year>
    <b:City>Boston</b:City>
    <b:Publisher>Houghton Mifflin</b:Publisher>
    <b:Author>
      <b:Author>
        <b:NameList>
          <b:Person>
            <b:Last>Mellow</b:Last>
            <b:First>James</b:First>
            <b:Middle>R.</b:Middle>
          </b:Person>
        </b:NameList>
      </b:Author>
    </b:Author>
    <b:RefOrder>3</b:RefOrder>
  </b:Source>
  <b:Source>
    <b:Tag>Rey97</b:Tag>
    <b:SourceType>Book</b:SourceType>
    <b:Guid>{A6E14821-DB5A-458A-A931-4413B2A10FC7}</b:Guid>
    <b:Author>
      <b:Author>
        <b:NameList>
          <b:Person>
            <b:Last>Reynolds</b:Last>
            <b:First>Michael</b:First>
          </b:Person>
        </b:NameList>
      </b:Author>
    </b:Author>
    <b:Title>Hemingway: The 1930s</b:Title>
    <b:Year>1997</b:Year>
    <b:City>New York</b:City>
    <b:Publisher>W. W. Norton</b:Publisher>
    <b:Volume>4</b:Volume>
    <b:NumberVolumes>5</b:NumberVolumes>
    <b:RefOrder>7</b:RefOrder>
  </b:Source>
  <b:Source>
    <b:Tag>Rey99</b:Tag>
    <b:SourceType>Book</b:SourceType>
    <b:Guid>{05C4849D-24C2-45C7-85FD-3719B5D7B048}</b:Guid>
    <b:Author>
      <b:Author>
        <b:NameList>
          <b:Person>
            <b:Last>Reynolds</b:Last>
            <b:First>Michael</b:First>
          </b:Person>
        </b:NameList>
      </b:Author>
    </b:Author>
    <b:Title>Hemingway: The Final Years</b:Title>
    <b:Year>1999</b:Year>
    <b:City>New York</b:City>
    <b:Publisher>W. W. Norton</b:Publisher>
    <b:Volume>5</b:Volume>
    <b:NumberVolumes>5</b:NumberVolumes>
    <b:RefOrder>8</b:RefOrder>
  </b:Source>
  <b:Source>
    <b:Tag>Rey86</b:Tag>
    <b:SourceType>Book</b:SourceType>
    <b:Guid>{B775496D-7AD9-4133-B6D1-8C67AA7DDD8C}</b:Guid>
    <b:Author>
      <b:Author>
        <b:NameList>
          <b:Person>
            <b:Last>Reynolds</b:Last>
            <b:First>Michael</b:First>
          </b:Person>
        </b:NameList>
      </b:Author>
    </b:Author>
    <b:Title>The Young Hemingway</b:Title>
    <b:Year>1986</b:Year>
    <b:City>New York</b:City>
    <b:Publisher>W. W. Norton</b:Publisher>
    <b:Volume>1</b:Volume>
    <b:NumberVolumes>5</b:NumberVolumes>
    <b:RefOrder>4</b:RefOrder>
  </b:Source>
  <b:Source>
    <b:Tag>Rey89</b:Tag>
    <b:SourceType>Book</b:SourceType>
    <b:Guid>{AC5085D6-175B-4E75-A389-24A4EED1BD73}</b:Guid>
    <b:Author>
      <b:Author>
        <b:NameList>
          <b:Person>
            <b:Last>Reynolds</b:Last>
            <b:First>Michael</b:First>
          </b:Person>
        </b:NameList>
      </b:Author>
    </b:Author>
    <b:Title>Hemingway: The Paris Years</b:Title>
    <b:Year>1989</b:Year>
    <b:City>New York</b:City>
    <b:Publisher>W. W. Norton</b:Publisher>
    <b:Volume>2</b:Volume>
    <b:NumberVolumes>5</b:NumberVolumes>
    <b:RefOrder>5</b:RefOrder>
  </b:Source>
  <b:Source>
    <b:Tag>Rey92</b:Tag>
    <b:SourceType>Book</b:SourceType>
    <b:Guid>{F47145A8-9544-4285-BF38-06D5324DFAC6}</b:Guid>
    <b:Author>
      <b:Author>
        <b:NameList>
          <b:Person>
            <b:Last>Reynolds</b:Last>
            <b:First>Michael</b:First>
          </b:Person>
        </b:NameList>
      </b:Author>
    </b:Author>
    <b:Title>Hemingway: The Homecoming</b:Title>
    <b:Year>1992</b:Year>
    <b:City>New York</b:City>
    <b:Publisher>W. W. Norton</b:Publisher>
    <b:Volume>3</b:Volume>
    <b:NumberVolumes>5</b:NumberVolumes>
    <b:RefOrder>6</b:RefOrder>
  </b:Source>
  <b:Source>
    <b:Tag>Wag07</b:Tag>
    <b:SourceType>Book</b:SourceType>
    <b:Guid>{974F7A60-D91D-487C-9874-F426DEFFBC83}</b:Guid>
    <b:Author>
      <b:Author>
        <b:NameList>
          <b:Person>
            <b:Last>Wagner-Martin</b:Last>
            <b:First>Linda</b:First>
          </b:Person>
        </b:NameList>
      </b:Author>
    </b:Author>
    <b:Title>Ernest Hemingway</b:Title>
    <b:Year>2007</b:Year>
    <b:City>London</b:City>
    <b:Publisher>Macmillan</b:Publisher>
    <b:RefOrder>9</b:RefOrder>
  </b:Source>
  <b:Source>
    <b:Tag>Bur96</b:Tag>
    <b:SourceType>Book</b:SourceType>
    <b:Guid>{FF4A82EE-3314-49E4-8D78-3E209B91E930}</b:Guid>
    <b:Author>
      <b:Author>
        <b:NameList>
          <b:Person>
            <b:Last>Burwell</b:Last>
            <b:First>Rose</b:First>
            <b:Middle>Marie</b:Middle>
          </b:Person>
        </b:NameList>
      </b:Author>
    </b:Author>
    <b:Title>The Postwar Years and the Posthumous Novels</b:Title>
    <b:Year>1996</b:Year>
    <b:City>Cambridge</b:City>
    <b:Publisher>Cambridge University Press</b:Publisher>
    <b:RefOrder>10</b:RefOrder>
  </b:Source>
  <b:Source>
    <b:Tag>Com96</b:Tag>
    <b:SourceType>Book</b:SourceType>
    <b:Guid>{E8D5FC56-5B88-4418-AF23-3ABD42E8FC90}</b:Guid>
    <b:Author>
      <b:Author>
        <b:NameList>
          <b:Person>
            <b:Last>Comley</b:Last>
            <b:First>Nancy</b:First>
            <b:Middle>R.</b:Middle>
          </b:Person>
          <b:Person>
            <b:Last>Scholes</b:Last>
            <b:First>Robert</b:First>
          </b:Person>
        </b:NameList>
      </b:Author>
    </b:Author>
    <b:Title>Hemingway's Genders: Rereading the Hemingway Text</b:Title>
    <b:Year>1996</b:Year>
    <b:City>New Haven</b:City>
    <b:Publisher>Yale University Press</b:Publisher>
    <b:RefOrder>11</b:RefOrder>
  </b:Source>
  <b:Source>
    <b:Tag>Car99</b:Tag>
    <b:SourceType>Book</b:SourceType>
    <b:Guid>{F18F7E9E-9C2B-4F80-9856-A5D027BC48F1}</b:Guid>
    <b:Author>
      <b:Author>
        <b:NameList>
          <b:Person>
            <b:Last>Eby</b:Last>
            <b:First>Carl</b:First>
          </b:Person>
        </b:NameList>
      </b:Author>
    </b:Author>
    <b:Title>Hemingway's Fetishism: Psychoanalysis and the Mirror of Manhood</b:Title>
    <b:Year>1999</b:Year>
    <b:City>New Albany</b:City>
    <b:Publisher>SUNY</b:Publisher>
    <b:RefOrder>12</b:RefOrder>
  </b:Source>
  <b:Source>
    <b:Tag>Str03</b:Tag>
    <b:SourceType>Book</b:SourceType>
    <b:Guid>{3DD38197-B4CD-4ACF-93E4-A57AC72E302C}</b:Guid>
    <b:Author>
      <b:Author>
        <b:NameList>
          <b:Person>
            <b:Last>Strychacz</b:Last>
            <b:First>Thomas</b:First>
          </b:Person>
        </b:NameList>
      </b:Author>
    </b:Author>
    <b:Title>Hemingway's Theatres of Masculinity</b:Title>
    <b:Year>2003</b:Year>
    <b:City>Baton Rouge</b:City>
    <b:Publisher>Louisiana State University Press</b:Publisher>
    <b:RefOrder>13</b:RefOrder>
  </b:Source>
  <b:Source>
    <b:Tag>You52</b:Tag>
    <b:SourceType>Book</b:SourceType>
    <b:Guid>{9E39422E-9045-47D0-8570-7534E4B3BCED}</b:Guid>
    <b:Author>
      <b:Author>
        <b:NameList>
          <b:Person>
            <b:Last>Young</b:Last>
            <b:First>Philip</b:First>
          </b:Person>
        </b:NameList>
      </b:Author>
    </b:Author>
    <b:Title>Ernest Hemingway</b:Title>
    <b:Year>1952</b:Year>
    <b:City>New York</b:City>
    <b:Publisher>Rinehart</b:Publisher>
    <b:RefOrder>14</b:RefOrder>
  </b:Source>
  <b:Source>
    <b:Tag>You66</b:Tag>
    <b:SourceType>Book</b:SourceType>
    <b:Guid>{BE3F4FC6-B266-42CC-BA7F-143AE9A294B2}</b:Guid>
    <b:Author>
      <b:Author>
        <b:NameList>
          <b:Person>
            <b:Last>Young</b:Last>
            <b:First>Philip</b:First>
          </b:Person>
        </b:NameList>
      </b:Author>
    </b:Author>
    <b:Title>Ernest Hemingway: A Reconsideration</b:Title>
    <b:Year>1966</b:Year>
    <b:City>New York</b:City>
    <b:Publisher>Rinehart</b:Publisher>
    <b:RefOrder>15</b:RefOrder>
  </b:Source>
</b:Sources>
</file>

<file path=customXml/itemProps1.xml><?xml version="1.0" encoding="utf-8"?>
<ds:datastoreItem xmlns:ds="http://schemas.openxmlformats.org/officeDocument/2006/customXml" ds:itemID="{F350D504-245C-480E-8A42-E3AF2998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29</TotalTime>
  <Pages>6</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2016-01-20T04:29:00Z</dcterms:created>
  <dcterms:modified xsi:type="dcterms:W3CDTF">2016-01-20T04:59:00Z</dcterms:modified>
</cp:coreProperties>
</file>