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8"/>
        <w:gridCol w:w="2627"/>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2264F2" w:rsidP="00837FE7">
            <w:pPr>
              <w:spacing w:after="0" w:line="240" w:lineRule="auto"/>
            </w:pPr>
            <w:r>
              <w:rPr>
                <w:rStyle w:val="PlaceholderText"/>
              </w:rPr>
              <w:t>Anthony</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2264F2" w:rsidP="00837FE7">
            <w:pPr>
              <w:spacing w:after="0" w:line="240" w:lineRule="auto"/>
            </w:pPr>
            <w:r>
              <w:rPr>
                <w:rStyle w:val="PlaceholderText"/>
              </w:rPr>
              <w:t>Parton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2264F2" w:rsidP="00837FE7">
            <w:pPr>
              <w:spacing w:after="0" w:line="240" w:lineRule="auto"/>
            </w:pPr>
            <w:r>
              <w:rPr>
                <w:rStyle w:val="PlaceholderText"/>
              </w:rPr>
              <w:t>Durham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2264F2" w:rsidP="002264F2">
            <w:pPr>
              <w:spacing w:after="0" w:line="240" w:lineRule="auto"/>
              <w:rPr>
                <w:b/>
                <w:color w:val="000000"/>
              </w:rPr>
            </w:pPr>
            <w:r>
              <w:rPr>
                <w:b/>
                <w:color w:val="000000"/>
                <w:lang w:val="fr-FR"/>
              </w:rPr>
              <w:t xml:space="preserve">Larionov, Mikhail Fedorovich </w:t>
            </w:r>
            <w:r w:rsidRPr="002264F2">
              <w:rPr>
                <w:b/>
                <w:color w:val="000000"/>
                <w:lang w:val="fr-FR"/>
              </w:rPr>
              <w:t>(1881-1964)</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537F73" w:rsidP="00837FE7">
            <w:pPr>
              <w:spacing w:after="0" w:line="240" w:lineRule="auto"/>
              <w:rPr>
                <w:color w:val="000000"/>
              </w:rPr>
            </w:pPr>
            <w:r w:rsidRPr="00D65017">
              <w:rPr>
                <w:color w:val="000000"/>
                <w:lang w:val="fr-FR"/>
              </w:rPr>
              <w:t>Mi</w:t>
            </w:r>
            <w:r>
              <w:rPr>
                <w:color w:val="000000"/>
                <w:lang w:val="fr-FR"/>
              </w:rPr>
              <w:t>k</w:t>
            </w:r>
            <w:r w:rsidRPr="00D65017">
              <w:rPr>
                <w:color w:val="000000"/>
                <w:lang w:val="fr-FR"/>
              </w:rPr>
              <w:t>hail Larionov was the leader of the Russian artistic vanguard in Moscow in the years before the First World War. He was a vivacious and highly talented painter, book illustrator and exhibition organiser. During 1909-1912 he employed a highly distinctive expressonist style of</w:t>
            </w:r>
            <w:r>
              <w:rPr>
                <w:color w:val="000000"/>
                <w:lang w:val="fr-FR"/>
              </w:rPr>
              <w:t xml:space="preserve"> painting called Neo-Primitivism</w:t>
            </w:r>
            <w:r w:rsidRPr="00D65017">
              <w:rPr>
                <w:color w:val="000000"/>
                <w:lang w:val="fr-FR"/>
              </w:rPr>
              <w:t xml:space="preserve"> which, in its frank celebration of popular culture, was calculated to offend polite taste.</w:t>
            </w:r>
            <w:r w:rsidR="005350E8">
              <w:rPr>
                <w:color w:val="000000"/>
                <w:lang w:val="fr-FR"/>
              </w:rPr>
              <w:t xml:space="preserve"> </w:t>
            </w:r>
            <w:r w:rsidRPr="00D65017">
              <w:rPr>
                <w:color w:val="000000"/>
                <w:lang w:val="fr-FR"/>
              </w:rPr>
              <w:t>Subsequently he made his name as a Russian futurist and engaged in an innovative form of abstract and non-ob</w:t>
            </w:r>
            <w:r>
              <w:rPr>
                <w:color w:val="000000"/>
                <w:lang w:val="fr-FR"/>
              </w:rPr>
              <w:t>jective painting called Rayonism</w:t>
            </w:r>
            <w:r w:rsidRPr="00D65017">
              <w:rPr>
                <w:color w:val="000000"/>
                <w:lang w:val="fr-FR"/>
              </w:rPr>
              <w:t xml:space="preserve"> which prepared the way for Malevich’s S</w:t>
            </w:r>
            <w:r>
              <w:rPr>
                <w:color w:val="000000"/>
                <w:lang w:val="fr-FR"/>
              </w:rPr>
              <w:t xml:space="preserve">uprematism </w:t>
            </w:r>
            <w:r w:rsidRPr="00D65017">
              <w:rPr>
                <w:color w:val="000000"/>
                <w:lang w:val="fr-FR"/>
              </w:rPr>
              <w:t>and Tatlin’s C</w:t>
            </w:r>
            <w:r>
              <w:rPr>
                <w:color w:val="000000"/>
                <w:lang w:val="fr-FR"/>
              </w:rPr>
              <w:t>onstructivism</w:t>
            </w:r>
            <w:r w:rsidRPr="00D65017">
              <w:rPr>
                <w:color w:val="000000"/>
                <w:lang w:val="fr-FR"/>
              </w:rPr>
              <w:t>. In 1915</w:t>
            </w:r>
            <w:r>
              <w:rPr>
                <w:color w:val="000000"/>
                <w:lang w:val="fr-FR"/>
              </w:rPr>
              <w:t>,</w:t>
            </w:r>
            <w:r w:rsidRPr="00D65017">
              <w:rPr>
                <w:color w:val="000000"/>
                <w:lang w:val="fr-FR"/>
              </w:rPr>
              <w:t xml:space="preserve"> Larionov, along with his partner, the pa</w:t>
            </w:r>
            <w:r>
              <w:rPr>
                <w:color w:val="000000"/>
                <w:lang w:val="fr-FR"/>
              </w:rPr>
              <w:t>inter Natalia Goncharova</w:t>
            </w:r>
            <w:r w:rsidRPr="00D65017">
              <w:rPr>
                <w:color w:val="000000"/>
                <w:lang w:val="fr-FR"/>
              </w:rPr>
              <w:t xml:space="preserve">, left Russia to work as a stage designer for Diaghilev’s </w:t>
            </w:r>
            <w:r w:rsidRPr="00D65017">
              <w:rPr>
                <w:i/>
                <w:color w:val="000000"/>
                <w:lang w:val="fr-FR"/>
              </w:rPr>
              <w:t>B</w:t>
            </w:r>
            <w:r>
              <w:rPr>
                <w:i/>
                <w:color w:val="000000"/>
                <w:lang w:val="fr-FR"/>
              </w:rPr>
              <w:t>allets</w:t>
            </w:r>
            <w:r w:rsidRPr="00D65017">
              <w:rPr>
                <w:i/>
                <w:color w:val="000000"/>
                <w:lang w:val="fr-FR"/>
              </w:rPr>
              <w:t xml:space="preserve"> R</w:t>
            </w:r>
            <w:r>
              <w:rPr>
                <w:i/>
                <w:color w:val="000000"/>
                <w:lang w:val="fr-FR"/>
              </w:rPr>
              <w:t>usses</w:t>
            </w:r>
            <w:r w:rsidRPr="00D65017">
              <w:rPr>
                <w:color w:val="000000"/>
                <w:lang w:val="fr-FR"/>
              </w:rPr>
              <w:t>.</w:t>
            </w:r>
          </w:p>
        </w:tc>
      </w:tr>
      <w:tr w:rsidR="003F0D73" w:rsidRPr="00837FE7" w:rsidTr="00837FE7">
        <w:tc>
          <w:tcPr>
            <w:tcW w:w="9016" w:type="dxa"/>
            <w:shd w:val="clear" w:color="auto" w:fill="auto"/>
            <w:tcMar>
              <w:top w:w="113" w:type="dxa"/>
              <w:bottom w:w="113" w:type="dxa"/>
            </w:tcMar>
          </w:tcPr>
          <w:p w:rsidR="00D65017" w:rsidRDefault="00D65017" w:rsidP="00D65017">
            <w:pPr>
              <w:spacing w:after="0" w:line="240" w:lineRule="auto"/>
              <w:rPr>
                <w:color w:val="000000"/>
                <w:lang w:val="fr-FR"/>
              </w:rPr>
            </w:pPr>
            <w:r w:rsidRPr="00D65017">
              <w:rPr>
                <w:color w:val="000000"/>
                <w:lang w:val="fr-FR"/>
              </w:rPr>
              <w:t>Mi</w:t>
            </w:r>
            <w:r w:rsidR="00537F73">
              <w:rPr>
                <w:color w:val="000000"/>
                <w:lang w:val="fr-FR"/>
              </w:rPr>
              <w:t>k</w:t>
            </w:r>
            <w:r w:rsidRPr="00D65017">
              <w:rPr>
                <w:color w:val="000000"/>
                <w:lang w:val="fr-FR"/>
              </w:rPr>
              <w:t>hail Larionov was the leader of the Russian artistic vanguard in Moscow in the years before the First World War. He was a vivacious and highly talented painter, book illustrator and exhibition organiser. During 1909-1912 he employed a highly distinctive expressonist style of</w:t>
            </w:r>
            <w:r w:rsidR="0090233A">
              <w:rPr>
                <w:color w:val="000000"/>
                <w:lang w:val="fr-FR"/>
              </w:rPr>
              <w:t xml:space="preserve"> painting called Neo-Primitivism</w:t>
            </w:r>
            <w:r w:rsidRPr="00D65017">
              <w:rPr>
                <w:color w:val="000000"/>
                <w:lang w:val="fr-FR"/>
              </w:rPr>
              <w:t xml:space="preserve"> which, in its frank celebration of popular culture, was calculated to offend polite taste.</w:t>
            </w:r>
            <w:r w:rsidR="005350E8">
              <w:rPr>
                <w:color w:val="000000"/>
                <w:lang w:val="fr-FR"/>
              </w:rPr>
              <w:t xml:space="preserve"> </w:t>
            </w:r>
            <w:r w:rsidRPr="00D65017">
              <w:rPr>
                <w:color w:val="000000"/>
                <w:lang w:val="fr-FR"/>
              </w:rPr>
              <w:t>Subsequently he made his name as a Russian futurist and engaged in an innovative form of abstract and non-ob</w:t>
            </w:r>
            <w:r w:rsidR="0043763A">
              <w:rPr>
                <w:color w:val="000000"/>
                <w:lang w:val="fr-FR"/>
              </w:rPr>
              <w:t>jective painting called Rayonism</w:t>
            </w:r>
            <w:r w:rsidRPr="00D65017">
              <w:rPr>
                <w:color w:val="000000"/>
                <w:lang w:val="fr-FR"/>
              </w:rPr>
              <w:t xml:space="preserve"> which prepared the way for Malevich’s S</w:t>
            </w:r>
            <w:r w:rsidR="0090233A">
              <w:rPr>
                <w:color w:val="000000"/>
                <w:lang w:val="fr-FR"/>
              </w:rPr>
              <w:t xml:space="preserve">uprematism </w:t>
            </w:r>
            <w:r w:rsidRPr="00D65017">
              <w:rPr>
                <w:color w:val="000000"/>
                <w:lang w:val="fr-FR"/>
              </w:rPr>
              <w:t>and Tatlin’s C</w:t>
            </w:r>
            <w:r w:rsidR="0090233A">
              <w:rPr>
                <w:color w:val="000000"/>
                <w:lang w:val="fr-FR"/>
              </w:rPr>
              <w:t>onstructivism</w:t>
            </w:r>
            <w:r w:rsidRPr="00D65017">
              <w:rPr>
                <w:color w:val="000000"/>
                <w:lang w:val="fr-FR"/>
              </w:rPr>
              <w:t>. In 1915</w:t>
            </w:r>
            <w:r w:rsidR="0043763A">
              <w:rPr>
                <w:color w:val="000000"/>
                <w:lang w:val="fr-FR"/>
              </w:rPr>
              <w:t>,</w:t>
            </w:r>
            <w:r w:rsidRPr="00D65017">
              <w:rPr>
                <w:color w:val="000000"/>
                <w:lang w:val="fr-FR"/>
              </w:rPr>
              <w:t xml:space="preserve"> Larionov, along with his partner, the pa</w:t>
            </w:r>
            <w:r w:rsidR="0090233A">
              <w:rPr>
                <w:color w:val="000000"/>
                <w:lang w:val="fr-FR"/>
              </w:rPr>
              <w:t>inter Natalia Goncharova</w:t>
            </w:r>
            <w:r w:rsidRPr="00D65017">
              <w:rPr>
                <w:color w:val="000000"/>
                <w:lang w:val="fr-FR"/>
              </w:rPr>
              <w:t xml:space="preserve">, left Russia to work as a stage designer for Diaghilev’s </w:t>
            </w:r>
            <w:r w:rsidRPr="00D65017">
              <w:rPr>
                <w:i/>
                <w:color w:val="000000"/>
                <w:lang w:val="fr-FR"/>
              </w:rPr>
              <w:t>B</w:t>
            </w:r>
            <w:r w:rsidR="00CA723A">
              <w:rPr>
                <w:i/>
                <w:color w:val="000000"/>
                <w:lang w:val="fr-FR"/>
              </w:rPr>
              <w:t>allets</w:t>
            </w:r>
            <w:r w:rsidRPr="00D65017">
              <w:rPr>
                <w:i/>
                <w:color w:val="000000"/>
                <w:lang w:val="fr-FR"/>
              </w:rPr>
              <w:t xml:space="preserve"> R</w:t>
            </w:r>
            <w:r w:rsidR="00924D37">
              <w:rPr>
                <w:i/>
                <w:color w:val="000000"/>
                <w:lang w:val="fr-FR"/>
              </w:rPr>
              <w:t>usses</w:t>
            </w:r>
            <w:r w:rsidRPr="00D65017">
              <w:rPr>
                <w:color w:val="000000"/>
                <w:lang w:val="fr-FR"/>
              </w:rPr>
              <w:t xml:space="preserve">. </w:t>
            </w:r>
          </w:p>
          <w:p w:rsidR="00D65017" w:rsidRDefault="00D65017" w:rsidP="00D65017">
            <w:pPr>
              <w:spacing w:after="0" w:line="240" w:lineRule="auto"/>
              <w:rPr>
                <w:color w:val="000000"/>
                <w:lang w:val="fr-FR"/>
              </w:rPr>
            </w:pPr>
          </w:p>
          <w:p w:rsidR="00875FB4" w:rsidRDefault="00D65017" w:rsidP="00875FB4">
            <w:pPr>
              <w:keepNext/>
              <w:spacing w:after="0" w:line="240" w:lineRule="auto"/>
            </w:pPr>
            <w:r>
              <w:rPr>
                <w:color w:val="000000"/>
                <w:lang w:val="fr-FR"/>
              </w:rPr>
              <w:t>File : Larionov.jpg</w:t>
            </w:r>
          </w:p>
          <w:p w:rsidR="00D65017" w:rsidRPr="00875FB4" w:rsidRDefault="00875FB4" w:rsidP="00875FB4">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w:t>
            </w:r>
          </w:p>
          <w:p w:rsidR="00D65017" w:rsidRPr="00D65017" w:rsidRDefault="00D65017" w:rsidP="00D65017">
            <w:pPr>
              <w:spacing w:after="0" w:line="240" w:lineRule="auto"/>
              <w:rPr>
                <w:color w:val="000000"/>
                <w:lang w:val="en-CA"/>
              </w:rPr>
            </w:pPr>
            <w:r>
              <w:rPr>
                <w:color w:val="000000"/>
                <w:lang w:val="fr-FR"/>
              </w:rPr>
              <w:t xml:space="preserve">Source : </w:t>
            </w:r>
            <w:r w:rsidR="001D1ACC">
              <w:rPr>
                <w:color w:val="000000"/>
                <w:lang w:val="fr-FR"/>
              </w:rPr>
              <w:t>&lt;</w:t>
            </w:r>
            <w:r w:rsidR="00875FB4" w:rsidRPr="00875FB4">
              <w:rPr>
                <w:color w:val="000000"/>
                <w:lang w:val="fr-FR"/>
              </w:rPr>
              <w:t>http://www.usc.edu/dept/LAS/IMRC/course_website/slides09/lario005_200w.htm</w:t>
            </w:r>
            <w:r w:rsidR="001D1ACC">
              <w:rPr>
                <w:color w:val="000000"/>
                <w:lang w:val="fr-FR"/>
              </w:rPr>
              <w:t>&gt;</w:t>
            </w:r>
          </w:p>
          <w:p w:rsidR="00D65017" w:rsidRPr="00D65017" w:rsidRDefault="00D65017" w:rsidP="00D65017">
            <w:pPr>
              <w:spacing w:after="0" w:line="240" w:lineRule="auto"/>
              <w:rPr>
                <w:color w:val="000000"/>
                <w:lang w:val="fr-FR"/>
              </w:rPr>
            </w:pPr>
          </w:p>
          <w:p w:rsidR="00D65017" w:rsidRPr="00D65017" w:rsidRDefault="00D65017" w:rsidP="00D65017">
            <w:pPr>
              <w:spacing w:after="0" w:line="240" w:lineRule="auto"/>
              <w:rPr>
                <w:color w:val="000000"/>
                <w:lang w:val="fr-FR"/>
              </w:rPr>
            </w:pPr>
            <w:r w:rsidRPr="00D65017">
              <w:rPr>
                <w:color w:val="000000"/>
                <w:lang w:val="fr-FR"/>
              </w:rPr>
              <w:t xml:space="preserve">Larionov was born in Tiraspol, then Bessarabia in 1881 and was sent to Moscow for his secondary education. In 1898 he began to study painting at the Moscow School of Art and here he met his future life-long colleague and partner Natalia Goncharova. Larionov reached maturity in 1909 when, having undergone the impact of Paul Gauguin, Vincent van Gogh, Paul Cézanne, Henri Matisse and the </w:t>
            </w:r>
            <w:r w:rsidRPr="00D65017">
              <w:rPr>
                <w:i/>
                <w:color w:val="000000"/>
                <w:lang w:val="fr-FR"/>
              </w:rPr>
              <w:t>Fauves</w:t>
            </w:r>
            <w:r w:rsidRPr="00D65017">
              <w:rPr>
                <w:color w:val="000000"/>
                <w:lang w:val="fr-FR"/>
              </w:rPr>
              <w:t xml:space="preserve"> he engaged in a rebarbative style of painting that he sub</w:t>
            </w:r>
            <w:r w:rsidR="005350E8">
              <w:rPr>
                <w:color w:val="000000"/>
                <w:lang w:val="fr-FR"/>
              </w:rPr>
              <w:t>sequently called Neo-Primitivism</w:t>
            </w:r>
            <w:r w:rsidRPr="00D65017">
              <w:rPr>
                <w:color w:val="000000"/>
                <w:lang w:val="fr-FR"/>
              </w:rPr>
              <w:t>. On the one hand these works represented a critique of the artificiality of bourgeois manners (</w:t>
            </w:r>
            <w:r w:rsidRPr="00D65017">
              <w:rPr>
                <w:i/>
                <w:color w:val="000000"/>
                <w:lang w:val="fr-FR"/>
              </w:rPr>
              <w:t>Walk in a Provincial Town</w:t>
            </w:r>
            <w:r w:rsidRPr="00D65017">
              <w:rPr>
                <w:color w:val="000000"/>
                <w:lang w:val="fr-FR"/>
              </w:rPr>
              <w:t>, Moscow: Tretiakov Gallery) whilst on the other they celebrated the vitality and authenticiy of a supposed ‘primitiveness’ exemplified by the those considered beyond the parameters of polite borgeois society such as peasants, gypsies, squaddies and prostitutes (</w:t>
            </w:r>
            <w:r w:rsidRPr="00D65017">
              <w:rPr>
                <w:i/>
                <w:color w:val="000000"/>
                <w:lang w:val="fr-FR"/>
              </w:rPr>
              <w:t>Katsap Venus</w:t>
            </w:r>
            <w:r w:rsidRPr="00D65017">
              <w:rPr>
                <w:color w:val="000000"/>
                <w:lang w:val="fr-FR"/>
              </w:rPr>
              <w:t xml:space="preserve">, Nizhny-Novgorod: Art Museum). At the formal level the paintings recall the schematic and expressive forms of the Russian </w:t>
            </w:r>
            <w:r w:rsidRPr="00D65017">
              <w:rPr>
                <w:i/>
                <w:color w:val="000000"/>
                <w:lang w:val="fr-FR"/>
              </w:rPr>
              <w:t>lubok</w:t>
            </w:r>
            <w:r w:rsidRPr="00D65017">
              <w:rPr>
                <w:color w:val="000000"/>
                <w:lang w:val="fr-FR"/>
              </w:rPr>
              <w:t xml:space="preserve"> print, Russian icon, signboard </w:t>
            </w:r>
            <w:r w:rsidRPr="00D65017">
              <w:rPr>
                <w:color w:val="000000"/>
                <w:lang w:val="fr-FR"/>
              </w:rPr>
              <w:lastRenderedPageBreak/>
              <w:t xml:space="preserve">paintings, graffiti and children’s art. A cycle of four paintings entitled </w:t>
            </w:r>
            <w:r w:rsidRPr="00D65017">
              <w:rPr>
                <w:i/>
                <w:color w:val="000000"/>
                <w:lang w:val="fr-FR"/>
              </w:rPr>
              <w:t>The Seasons</w:t>
            </w:r>
            <w:r w:rsidRPr="00D65017">
              <w:rPr>
                <w:color w:val="000000"/>
                <w:lang w:val="fr-FR"/>
              </w:rPr>
              <w:t xml:space="preserve"> (Moscow: Tretiakov Gallery &amp; Paris: MNAM) was completed in 1913 and represents the apogee of the style.</w:t>
            </w:r>
          </w:p>
          <w:p w:rsidR="00D65017" w:rsidRPr="00D65017" w:rsidRDefault="00D65017" w:rsidP="00D65017">
            <w:pPr>
              <w:spacing w:after="0" w:line="240" w:lineRule="auto"/>
              <w:rPr>
                <w:color w:val="000000"/>
                <w:lang w:val="fr-FR"/>
              </w:rPr>
            </w:pPr>
          </w:p>
          <w:p w:rsidR="00D65017" w:rsidRPr="00D65017" w:rsidRDefault="00D65017" w:rsidP="00D65017">
            <w:pPr>
              <w:spacing w:after="0" w:line="240" w:lineRule="auto"/>
              <w:rPr>
                <w:color w:val="000000"/>
                <w:lang w:val="fr-FR"/>
              </w:rPr>
            </w:pPr>
            <w:r w:rsidRPr="00D65017">
              <w:rPr>
                <w:color w:val="000000"/>
                <w:lang w:val="fr-FR"/>
              </w:rPr>
              <w:t>In 1912 Larionov began to explore the poss</w:t>
            </w:r>
            <w:r w:rsidR="005350E8">
              <w:rPr>
                <w:color w:val="000000"/>
                <w:lang w:val="fr-FR"/>
              </w:rPr>
              <w:t>ibilities of Cubism and Futurism</w:t>
            </w:r>
            <w:r w:rsidRPr="00D65017">
              <w:rPr>
                <w:color w:val="000000"/>
                <w:lang w:val="fr-FR"/>
              </w:rPr>
              <w:t xml:space="preserve"> in works such as </w:t>
            </w:r>
            <w:r w:rsidRPr="00D65017">
              <w:rPr>
                <w:i/>
                <w:color w:val="000000"/>
                <w:lang w:val="fr-FR"/>
              </w:rPr>
              <w:t xml:space="preserve">Boulevard Venus </w:t>
            </w:r>
            <w:r w:rsidRPr="00D65017">
              <w:rPr>
                <w:color w:val="000000"/>
                <w:lang w:val="fr-FR"/>
              </w:rPr>
              <w:t>(Paris: MNAM) whilst also developing a radical for</w:t>
            </w:r>
            <w:r w:rsidR="002D062F">
              <w:rPr>
                <w:color w:val="000000"/>
                <w:lang w:val="fr-FR"/>
              </w:rPr>
              <w:t>m of abstraction called Rayonism</w:t>
            </w:r>
            <w:r w:rsidRPr="00D65017">
              <w:rPr>
                <w:color w:val="000000"/>
                <w:lang w:val="fr-FR"/>
              </w:rPr>
              <w:t xml:space="preserve"> (</w:t>
            </w:r>
            <w:r w:rsidRPr="00D65017">
              <w:rPr>
                <w:i/>
                <w:color w:val="000000"/>
                <w:lang w:val="fr-FR"/>
              </w:rPr>
              <w:t>Luchizm</w:t>
            </w:r>
            <w:r w:rsidRPr="00D65017">
              <w:rPr>
                <w:color w:val="000000"/>
                <w:lang w:val="fr-FR"/>
              </w:rPr>
              <w:t xml:space="preserve">). A series of brightly coloured non-objective </w:t>
            </w:r>
            <w:r w:rsidRPr="00D65017">
              <w:rPr>
                <w:i/>
                <w:color w:val="000000"/>
                <w:lang w:val="fr-FR"/>
              </w:rPr>
              <w:t>Rayonist Constructions</w:t>
            </w:r>
            <w:r w:rsidRPr="00D65017">
              <w:rPr>
                <w:color w:val="000000"/>
                <w:lang w:val="fr-FR"/>
              </w:rPr>
              <w:t xml:space="preserve"> executed in 1913 represented the cutting edge of Russian avant-garde art in the years before the war and paved the way for the subsequ</w:t>
            </w:r>
            <w:r w:rsidR="005350E8">
              <w:rPr>
                <w:color w:val="000000"/>
                <w:lang w:val="fr-FR"/>
              </w:rPr>
              <w:t>ently development of Suprematism</w:t>
            </w:r>
            <w:r w:rsidRPr="00D65017">
              <w:rPr>
                <w:color w:val="000000"/>
                <w:lang w:val="fr-FR"/>
              </w:rPr>
              <w:t xml:space="preserve"> and C</w:t>
            </w:r>
            <w:r w:rsidR="005350E8">
              <w:rPr>
                <w:color w:val="000000"/>
                <w:lang w:val="fr-FR"/>
              </w:rPr>
              <w:t>onstructivism</w:t>
            </w:r>
            <w:r w:rsidRPr="00D65017">
              <w:rPr>
                <w:color w:val="000000"/>
                <w:lang w:val="fr-FR"/>
              </w:rPr>
              <w:t xml:space="preserve">. Larionov was also fundamental to the development of the Russian avant-garde at this time as an organizer of controversial art exhibitions. He played a key role in the foundation of the </w:t>
            </w:r>
            <w:r w:rsidRPr="00D65017">
              <w:rPr>
                <w:i/>
                <w:color w:val="000000"/>
                <w:lang w:val="fr-FR"/>
              </w:rPr>
              <w:t>Knave of Diamonds</w:t>
            </w:r>
            <w:r w:rsidRPr="00D65017">
              <w:rPr>
                <w:color w:val="000000"/>
                <w:lang w:val="fr-FR"/>
              </w:rPr>
              <w:t xml:space="preserve"> exhibition society (first exhibition Moscow: 1910-11) and subsequently organized </w:t>
            </w:r>
            <w:r w:rsidRPr="00D65017">
              <w:rPr>
                <w:i/>
                <w:color w:val="000000"/>
                <w:lang w:val="fr-FR"/>
              </w:rPr>
              <w:t>The Donkey’s Tail</w:t>
            </w:r>
            <w:r w:rsidRPr="00D65017">
              <w:rPr>
                <w:color w:val="000000"/>
                <w:lang w:val="fr-FR"/>
              </w:rPr>
              <w:t xml:space="preserve"> (Moscow, 1912), </w:t>
            </w:r>
            <w:r w:rsidRPr="00D65017">
              <w:rPr>
                <w:i/>
                <w:color w:val="000000"/>
                <w:lang w:val="fr-FR"/>
              </w:rPr>
              <w:t xml:space="preserve">The Target </w:t>
            </w:r>
            <w:r w:rsidRPr="00D65017">
              <w:rPr>
                <w:color w:val="000000"/>
                <w:lang w:val="fr-FR"/>
              </w:rPr>
              <w:t xml:space="preserve">(Moscow, 1913) and </w:t>
            </w:r>
            <w:r w:rsidRPr="00D65017">
              <w:rPr>
                <w:i/>
                <w:color w:val="000000"/>
                <w:lang w:val="fr-FR"/>
              </w:rPr>
              <w:t>No. 4</w:t>
            </w:r>
            <w:r w:rsidRPr="00D65017">
              <w:rPr>
                <w:color w:val="000000"/>
                <w:lang w:val="fr-FR"/>
              </w:rPr>
              <w:t xml:space="preserve"> (Moscow, 1914) exhibitions which fostered and presented e</w:t>
            </w:r>
            <w:r w:rsidR="00BE6347">
              <w:rPr>
                <w:color w:val="000000"/>
                <w:lang w:val="fr-FR"/>
              </w:rPr>
              <w:t>merging talent. Kazimir Malevich</w:t>
            </w:r>
            <w:r w:rsidRPr="00D65017">
              <w:rPr>
                <w:color w:val="000000"/>
                <w:lang w:val="fr-FR"/>
              </w:rPr>
              <w:t xml:space="preserve"> and Vladimir T</w:t>
            </w:r>
            <w:r w:rsidR="00BE6347">
              <w:rPr>
                <w:color w:val="000000"/>
                <w:lang w:val="fr-FR"/>
              </w:rPr>
              <w:t>atlin</w:t>
            </w:r>
            <w:r w:rsidRPr="00D65017">
              <w:rPr>
                <w:color w:val="000000"/>
                <w:lang w:val="fr-FR"/>
              </w:rPr>
              <w:t xml:space="preserve"> both reached artistic maturity within these groupings. With Natalia G</w:t>
            </w:r>
            <w:r w:rsidR="001D6B23">
              <w:rPr>
                <w:color w:val="000000"/>
                <w:lang w:val="fr-FR"/>
              </w:rPr>
              <w:t>oncharova</w:t>
            </w:r>
            <w:r w:rsidRPr="00D65017">
              <w:rPr>
                <w:color w:val="000000"/>
                <w:lang w:val="fr-FR"/>
              </w:rPr>
              <w:t xml:space="preserve">, Larionov also founded a Futurist theatre known as </w:t>
            </w:r>
            <w:r w:rsidRPr="00D65017">
              <w:rPr>
                <w:i/>
                <w:color w:val="000000"/>
                <w:lang w:val="fr-FR"/>
              </w:rPr>
              <w:t>Teatr Futu</w:t>
            </w:r>
            <w:r w:rsidRPr="00D65017">
              <w:rPr>
                <w:color w:val="000000"/>
                <w:lang w:val="fr-FR"/>
              </w:rPr>
              <w:t xml:space="preserve"> and starred in the very first film to involve the artistic avant-garde: </w:t>
            </w:r>
            <w:r w:rsidRPr="00D65017">
              <w:rPr>
                <w:i/>
                <w:color w:val="000000"/>
                <w:lang w:val="fr-FR"/>
              </w:rPr>
              <w:t>Drama in the Futurists’ Cabaret No. 13</w:t>
            </w:r>
            <w:r w:rsidRPr="00D65017">
              <w:rPr>
                <w:color w:val="000000"/>
                <w:lang w:val="fr-FR"/>
              </w:rPr>
              <w:t xml:space="preserve"> (Moscow, 1913. Director: Kasyanov, no longer extant).</w:t>
            </w:r>
          </w:p>
          <w:p w:rsidR="00D65017" w:rsidRPr="00D65017" w:rsidRDefault="00D65017" w:rsidP="00D65017">
            <w:pPr>
              <w:spacing w:after="0" w:line="240" w:lineRule="auto"/>
              <w:rPr>
                <w:color w:val="000000"/>
                <w:lang w:val="fr-FR"/>
              </w:rPr>
            </w:pPr>
          </w:p>
          <w:p w:rsidR="003F0D73" w:rsidRPr="00E06B87" w:rsidRDefault="00D65017" w:rsidP="001D6B23">
            <w:pPr>
              <w:spacing w:after="0" w:line="240" w:lineRule="auto"/>
              <w:rPr>
                <w:color w:val="000000"/>
              </w:rPr>
            </w:pPr>
            <w:r w:rsidRPr="00D65017">
              <w:rPr>
                <w:color w:val="000000"/>
                <w:lang w:val="fr-FR"/>
              </w:rPr>
              <w:t>Larionov</w:t>
            </w:r>
            <w:r w:rsidR="005350E8">
              <w:rPr>
                <w:color w:val="000000"/>
                <w:lang w:val="fr-FR"/>
              </w:rPr>
              <w:t xml:space="preserve"> </w:t>
            </w:r>
            <w:r w:rsidRPr="00D65017">
              <w:rPr>
                <w:color w:val="000000"/>
                <w:lang w:val="fr-FR"/>
              </w:rPr>
              <w:t xml:space="preserve">assisted Goncharova in her designs for Diaghilev’s staging of Rimsky-Korsakov’s </w:t>
            </w:r>
            <w:r w:rsidRPr="00D65017">
              <w:rPr>
                <w:i/>
                <w:color w:val="000000"/>
                <w:lang w:val="fr-FR"/>
              </w:rPr>
              <w:t>Le coq d’or</w:t>
            </w:r>
            <w:r w:rsidRPr="00D65017">
              <w:rPr>
                <w:color w:val="000000"/>
                <w:lang w:val="fr-FR"/>
              </w:rPr>
              <w:t xml:space="preserve">, in Paris in 1914. The two artists also held a retrospective exhibition at the Galerie Paul Guillaume before returning to Moscow on the outbreak of war. Larionov saw active service on the Eastern Front but was wounded in 1915 and invalided out of the army. Suffering from ‘shell-shock’ he never completely recovered his ability to concentrate. He travelled to Switzerland with Goncharova later in the year and joined Diaghilev’s </w:t>
            </w:r>
            <w:r w:rsidRPr="00D65017">
              <w:rPr>
                <w:i/>
                <w:color w:val="000000"/>
                <w:lang w:val="fr-FR"/>
              </w:rPr>
              <w:t>B</w:t>
            </w:r>
            <w:r w:rsidR="001D6B23">
              <w:rPr>
                <w:i/>
                <w:color w:val="000000"/>
                <w:lang w:val="fr-FR"/>
              </w:rPr>
              <w:t>allets</w:t>
            </w:r>
            <w:r w:rsidRPr="00D65017">
              <w:rPr>
                <w:i/>
                <w:color w:val="000000"/>
                <w:lang w:val="fr-FR"/>
              </w:rPr>
              <w:t xml:space="preserve"> R</w:t>
            </w:r>
            <w:r w:rsidR="001D6B23">
              <w:rPr>
                <w:i/>
                <w:color w:val="000000"/>
                <w:lang w:val="fr-FR"/>
              </w:rPr>
              <w:t>usses</w:t>
            </w:r>
            <w:r w:rsidRPr="00D65017">
              <w:rPr>
                <w:color w:val="000000"/>
                <w:lang w:val="fr-FR"/>
              </w:rPr>
              <w:t xml:space="preserve"> as a stage designer. His work for Diaghilev included sets and costumes for </w:t>
            </w:r>
            <w:r w:rsidRPr="00D65017">
              <w:rPr>
                <w:i/>
                <w:color w:val="000000"/>
                <w:lang w:val="fr-FR"/>
              </w:rPr>
              <w:t>Soleil de minuit</w:t>
            </w:r>
            <w:r w:rsidRPr="00D65017">
              <w:rPr>
                <w:color w:val="000000"/>
                <w:lang w:val="fr-FR"/>
              </w:rPr>
              <w:t xml:space="preserve"> (1915), </w:t>
            </w:r>
            <w:r w:rsidRPr="00D65017">
              <w:rPr>
                <w:i/>
                <w:color w:val="000000"/>
                <w:lang w:val="fr-FR"/>
              </w:rPr>
              <w:t>Chout ou le bouffon</w:t>
            </w:r>
            <w:r w:rsidRPr="00D65017">
              <w:rPr>
                <w:color w:val="000000"/>
                <w:lang w:val="fr-FR"/>
              </w:rPr>
              <w:t xml:space="preserve"> (1921), </w:t>
            </w:r>
            <w:r w:rsidRPr="00D65017">
              <w:rPr>
                <w:i/>
                <w:color w:val="000000"/>
                <w:lang w:val="fr-FR"/>
              </w:rPr>
              <w:t>Le Renard</w:t>
            </w:r>
            <w:r w:rsidRPr="00D65017">
              <w:rPr>
                <w:color w:val="000000"/>
                <w:lang w:val="fr-FR"/>
              </w:rPr>
              <w:t xml:space="preserve"> (first version 1921, second version 1929). He subsequently staged Massine’s </w:t>
            </w:r>
            <w:r w:rsidRPr="00D65017">
              <w:rPr>
                <w:i/>
                <w:color w:val="000000"/>
                <w:lang w:val="fr-FR"/>
              </w:rPr>
              <w:t>Port Said</w:t>
            </w:r>
            <w:r w:rsidRPr="00D65017">
              <w:rPr>
                <w:color w:val="000000"/>
                <w:lang w:val="fr-FR"/>
              </w:rPr>
              <w:t xml:space="preserve"> and Lifar’s </w:t>
            </w:r>
            <w:r w:rsidRPr="00D65017">
              <w:rPr>
                <w:i/>
                <w:color w:val="000000"/>
                <w:lang w:val="fr-FR"/>
              </w:rPr>
              <w:t>Sur le Borysthène</w:t>
            </w:r>
            <w:r w:rsidRPr="00D65017">
              <w:rPr>
                <w:color w:val="000000"/>
                <w:lang w:val="fr-FR"/>
              </w:rPr>
              <w:t xml:space="preserve">. In the years after the war he settled in Paris with Goncharova where he became a leading member of the </w:t>
            </w:r>
            <w:r w:rsidRPr="00D65017">
              <w:rPr>
                <w:i/>
                <w:color w:val="000000"/>
                <w:lang w:val="fr-FR"/>
              </w:rPr>
              <w:t>École de Paris</w:t>
            </w:r>
            <w:r w:rsidRPr="00D65017">
              <w:rPr>
                <w:color w:val="000000"/>
                <w:lang w:val="fr-FR"/>
              </w:rPr>
              <w:t>, working as a painter, graphic artist, exhibition organiser and also as Goncharova’s’impressario’ and manager. He died in a care home at Fontenay-aux-Roses, Paris in 1964. He is now widely recognized as one of the leading exponents of Russian modernism alongside artists such as Goncharova, Malevich, Tatlin and Rodchenko.</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D65017" w:rsidRPr="00D65017" w:rsidRDefault="00965B53" w:rsidP="00D65017">
            <w:pPr>
              <w:spacing w:after="0" w:line="240" w:lineRule="auto"/>
              <w:rPr>
                <w:color w:val="000000"/>
                <w:lang w:val="fr-FR"/>
              </w:rPr>
            </w:pPr>
            <w:sdt>
              <w:sdtPr>
                <w:rPr>
                  <w:color w:val="000000"/>
                  <w:lang w:val="fr-FR"/>
                </w:rPr>
                <w:id w:val="-1010835986"/>
                <w:citation/>
              </w:sdtPr>
              <w:sdtContent>
                <w:r>
                  <w:rPr>
                    <w:color w:val="000000"/>
                    <w:lang w:val="fr-FR"/>
                  </w:rPr>
                  <w:fldChar w:fldCharType="begin"/>
                </w:r>
                <w:r>
                  <w:rPr>
                    <w:color w:val="000000"/>
                    <w:lang w:val="en-CA"/>
                  </w:rPr>
                  <w:instrText xml:space="preserve"> CITATION Ega131 \l 4105 </w:instrText>
                </w:r>
                <w:r>
                  <w:rPr>
                    <w:color w:val="000000"/>
                    <w:lang w:val="fr-FR"/>
                  </w:rPr>
                  <w:fldChar w:fldCharType="separate"/>
                </w:r>
                <w:r w:rsidRPr="00965B53">
                  <w:rPr>
                    <w:noProof/>
                    <w:color w:val="000000"/>
                    <w:lang w:val="en-CA"/>
                  </w:rPr>
                  <w:t>(Eganbiuri)</w:t>
                </w:r>
                <w:r>
                  <w:rPr>
                    <w:color w:val="000000"/>
                    <w:lang w:val="fr-FR"/>
                  </w:rPr>
                  <w:fldChar w:fldCharType="end"/>
                </w:r>
              </w:sdtContent>
            </w:sdt>
          </w:p>
          <w:p w:rsidR="00D65017" w:rsidRPr="00D65017" w:rsidRDefault="00965B53" w:rsidP="00D65017">
            <w:pPr>
              <w:spacing w:after="0" w:line="240" w:lineRule="auto"/>
              <w:rPr>
                <w:color w:val="000000"/>
                <w:lang w:val="fr-FR"/>
              </w:rPr>
            </w:pPr>
            <w:sdt>
              <w:sdtPr>
                <w:rPr>
                  <w:color w:val="000000"/>
                  <w:lang w:val="fr-FR"/>
                </w:rPr>
                <w:id w:val="1017350624"/>
                <w:citation/>
              </w:sdtPr>
              <w:sdtContent>
                <w:r>
                  <w:rPr>
                    <w:color w:val="000000"/>
                    <w:lang w:val="fr-FR"/>
                  </w:rPr>
                  <w:fldChar w:fldCharType="begin"/>
                </w:r>
                <w:r>
                  <w:rPr>
                    <w:color w:val="000000"/>
                    <w:lang w:val="en-CA"/>
                  </w:rPr>
                  <w:instrText xml:space="preserve"> CITATION Geo66 \l 4105 </w:instrText>
                </w:r>
                <w:r>
                  <w:rPr>
                    <w:color w:val="000000"/>
                    <w:lang w:val="fr-FR"/>
                  </w:rPr>
                  <w:fldChar w:fldCharType="separate"/>
                </w:r>
                <w:r w:rsidRPr="00965B53">
                  <w:rPr>
                    <w:noProof/>
                    <w:color w:val="000000"/>
                    <w:lang w:val="en-CA"/>
                  </w:rPr>
                  <w:t>(George)</w:t>
                </w:r>
                <w:r>
                  <w:rPr>
                    <w:color w:val="000000"/>
                    <w:lang w:val="fr-FR"/>
                  </w:rPr>
                  <w:fldChar w:fldCharType="end"/>
                </w:r>
              </w:sdtContent>
            </w:sdt>
          </w:p>
          <w:p w:rsidR="00D65017" w:rsidRPr="00D65017" w:rsidRDefault="00965B53" w:rsidP="00D65017">
            <w:pPr>
              <w:spacing w:after="0" w:line="240" w:lineRule="auto"/>
              <w:rPr>
                <w:color w:val="000000"/>
              </w:rPr>
            </w:pPr>
            <w:sdt>
              <w:sdtPr>
                <w:rPr>
                  <w:color w:val="000000"/>
                </w:rPr>
                <w:id w:val="-784262564"/>
                <w:citation/>
              </w:sdtPr>
              <w:sdtContent>
                <w:r>
                  <w:rPr>
                    <w:color w:val="000000"/>
                  </w:rPr>
                  <w:fldChar w:fldCharType="begin"/>
                </w:r>
                <w:r>
                  <w:rPr>
                    <w:color w:val="000000"/>
                    <w:lang w:val="en-CA"/>
                  </w:rPr>
                  <w:instrText xml:space="preserve"> CITATION Kov05 \l 4105 </w:instrText>
                </w:r>
                <w:r>
                  <w:rPr>
                    <w:color w:val="000000"/>
                  </w:rPr>
                  <w:fldChar w:fldCharType="separate"/>
                </w:r>
                <w:r w:rsidRPr="00965B53">
                  <w:rPr>
                    <w:noProof/>
                    <w:color w:val="000000"/>
                    <w:lang w:val="en-CA"/>
                  </w:rPr>
                  <w:t>(Kovalev)</w:t>
                </w:r>
                <w:r>
                  <w:rPr>
                    <w:color w:val="000000"/>
                  </w:rPr>
                  <w:fldChar w:fldCharType="end"/>
                </w:r>
              </w:sdtContent>
            </w:sdt>
          </w:p>
          <w:p w:rsidR="00D65017" w:rsidRPr="00D65017" w:rsidRDefault="00965B53" w:rsidP="00D65017">
            <w:pPr>
              <w:spacing w:after="0" w:line="240" w:lineRule="auto"/>
              <w:rPr>
                <w:color w:val="000000"/>
              </w:rPr>
            </w:pPr>
            <w:sdt>
              <w:sdtPr>
                <w:rPr>
                  <w:color w:val="000000"/>
                </w:rPr>
                <w:id w:val="-898444145"/>
                <w:citation/>
              </w:sdtPr>
              <w:sdtContent>
                <w:r>
                  <w:rPr>
                    <w:color w:val="000000"/>
                  </w:rPr>
                  <w:fldChar w:fldCharType="begin"/>
                </w:r>
                <w:r>
                  <w:rPr>
                    <w:color w:val="000000"/>
                    <w:lang w:val="en-CA"/>
                  </w:rPr>
                  <w:instrText xml:space="preserve"> CITATION Kov98 \l 4105 </w:instrText>
                </w:r>
                <w:r>
                  <w:rPr>
                    <w:color w:val="000000"/>
                  </w:rPr>
                  <w:fldChar w:fldCharType="separate"/>
                </w:r>
                <w:r w:rsidRPr="00965B53">
                  <w:rPr>
                    <w:noProof/>
                    <w:color w:val="000000"/>
                    <w:lang w:val="en-CA"/>
                  </w:rPr>
                  <w:t>(Kovtun)</w:t>
                </w:r>
                <w:r>
                  <w:rPr>
                    <w:color w:val="000000"/>
                  </w:rPr>
                  <w:fldChar w:fldCharType="end"/>
                </w:r>
              </w:sdtContent>
            </w:sdt>
          </w:p>
          <w:p w:rsidR="00D65017" w:rsidRPr="001A69BE" w:rsidRDefault="001A69BE" w:rsidP="00D65017">
            <w:pPr>
              <w:spacing w:after="0" w:line="240" w:lineRule="auto"/>
              <w:rPr>
                <w:color w:val="000000"/>
                <w:lang w:val="fr-FR"/>
              </w:rPr>
            </w:pPr>
            <w:sdt>
              <w:sdtPr>
                <w:rPr>
                  <w:color w:val="000000"/>
                  <w:lang w:val="fr-FR"/>
                </w:rPr>
                <w:id w:val="20828636"/>
                <w:citation/>
              </w:sdtPr>
              <w:sdtContent>
                <w:r>
                  <w:rPr>
                    <w:color w:val="000000"/>
                    <w:lang w:val="fr-FR"/>
                  </w:rPr>
                  <w:fldChar w:fldCharType="begin"/>
                </w:r>
                <w:r>
                  <w:rPr>
                    <w:color w:val="000000"/>
                    <w:lang w:val="en-CA"/>
                  </w:rPr>
                  <w:instrText xml:space="preserve"> CITATION Log711 \l 4105 </w:instrText>
                </w:r>
                <w:r>
                  <w:rPr>
                    <w:color w:val="000000"/>
                    <w:lang w:val="fr-FR"/>
                  </w:rPr>
                  <w:fldChar w:fldCharType="separate"/>
                </w:r>
                <w:r w:rsidRPr="001A69BE">
                  <w:rPr>
                    <w:noProof/>
                    <w:color w:val="000000"/>
                    <w:lang w:val="en-CA"/>
                  </w:rPr>
                  <w:t>(Loguine)</w:t>
                </w:r>
                <w:r>
                  <w:rPr>
                    <w:color w:val="000000"/>
                    <w:lang w:val="fr-FR"/>
                  </w:rPr>
                  <w:fldChar w:fldCharType="end"/>
                </w:r>
              </w:sdtContent>
            </w:sdt>
          </w:p>
          <w:p w:rsidR="00D65017" w:rsidRPr="00D65017" w:rsidRDefault="004503F5" w:rsidP="00D65017">
            <w:pPr>
              <w:spacing w:after="0" w:line="240" w:lineRule="auto"/>
              <w:rPr>
                <w:color w:val="000000"/>
              </w:rPr>
            </w:pPr>
            <w:sdt>
              <w:sdtPr>
                <w:rPr>
                  <w:color w:val="000000"/>
                </w:rPr>
                <w:id w:val="-1738079548"/>
                <w:citation/>
              </w:sdtPr>
              <w:sdtContent>
                <w:r>
                  <w:rPr>
                    <w:color w:val="000000"/>
                  </w:rPr>
                  <w:fldChar w:fldCharType="begin"/>
                </w:r>
                <w:r>
                  <w:rPr>
                    <w:color w:val="000000"/>
                    <w:lang w:val="en-CA"/>
                  </w:rPr>
                  <w:instrText xml:space="preserve"> CITATION MNA95 \l 4105 </w:instrText>
                </w:r>
                <w:r>
                  <w:rPr>
                    <w:color w:val="000000"/>
                  </w:rPr>
                  <w:fldChar w:fldCharType="separate"/>
                </w:r>
                <w:r w:rsidRPr="004503F5">
                  <w:rPr>
                    <w:noProof/>
                    <w:color w:val="000000"/>
                    <w:lang w:val="en-CA"/>
                  </w:rPr>
                  <w:t>(MNAM (Musée National d’Art Moderne)</w:t>
                </w:r>
                <w:r>
                  <w:rPr>
                    <w:color w:val="000000"/>
                  </w:rPr>
                  <w:fldChar w:fldCharType="end"/>
                </w:r>
              </w:sdtContent>
            </w:sdt>
          </w:p>
          <w:p w:rsidR="00D65017" w:rsidRPr="00D65017" w:rsidRDefault="003D741B" w:rsidP="00D65017">
            <w:pPr>
              <w:spacing w:after="0" w:line="240" w:lineRule="auto"/>
              <w:rPr>
                <w:color w:val="000000"/>
              </w:rPr>
            </w:pPr>
            <w:sdt>
              <w:sdtPr>
                <w:rPr>
                  <w:color w:val="000000"/>
                </w:rPr>
                <w:id w:val="-644504367"/>
                <w:citation/>
              </w:sdtPr>
              <w:sdtContent>
                <w:r>
                  <w:rPr>
                    <w:color w:val="000000"/>
                  </w:rPr>
                  <w:fldChar w:fldCharType="begin"/>
                </w:r>
                <w:r>
                  <w:rPr>
                    <w:color w:val="000000"/>
                    <w:lang w:val="en-CA"/>
                  </w:rPr>
                  <w:instrText xml:space="preserve"> CITATION Par93 \l 4105 </w:instrText>
                </w:r>
                <w:r>
                  <w:rPr>
                    <w:color w:val="000000"/>
                  </w:rPr>
                  <w:fldChar w:fldCharType="separate"/>
                </w:r>
                <w:r w:rsidRPr="003D741B">
                  <w:rPr>
                    <w:noProof/>
                    <w:color w:val="000000"/>
                    <w:lang w:val="en-CA"/>
                  </w:rPr>
                  <w:t>(Parton)</w:t>
                </w:r>
                <w:r>
                  <w:rPr>
                    <w:color w:val="000000"/>
                  </w:rPr>
                  <w:fldChar w:fldCharType="end"/>
                </w:r>
              </w:sdtContent>
            </w:sdt>
          </w:p>
          <w:p w:rsidR="00D65017" w:rsidRPr="00D65017" w:rsidRDefault="00BB2FEA" w:rsidP="00D65017">
            <w:pPr>
              <w:spacing w:after="0" w:line="240" w:lineRule="auto"/>
              <w:rPr>
                <w:color w:val="000000"/>
              </w:rPr>
            </w:pPr>
            <w:sdt>
              <w:sdtPr>
                <w:rPr>
                  <w:color w:val="000000"/>
                </w:rPr>
                <w:id w:val="-421641667"/>
                <w:citation/>
              </w:sdtPr>
              <w:sdtContent>
                <w:r>
                  <w:rPr>
                    <w:color w:val="000000"/>
                  </w:rPr>
                  <w:fldChar w:fldCharType="begin"/>
                </w:r>
                <w:r>
                  <w:rPr>
                    <w:color w:val="000000"/>
                    <w:lang w:val="en-CA"/>
                  </w:rPr>
                  <w:instrText xml:space="preserve"> CITATION Pos05 \l 4105 </w:instrText>
                </w:r>
                <w:r>
                  <w:rPr>
                    <w:color w:val="000000"/>
                  </w:rPr>
                  <w:fldChar w:fldCharType="separate"/>
                </w:r>
                <w:r w:rsidRPr="00BB2FEA">
                  <w:rPr>
                    <w:noProof/>
                    <w:color w:val="000000"/>
                    <w:lang w:val="en-CA"/>
                  </w:rPr>
                  <w:t>(Pospelov and Iliukhina)</w:t>
                </w:r>
                <w:r>
                  <w:rPr>
                    <w:color w:val="000000"/>
                  </w:rPr>
                  <w:fldChar w:fldCharType="end"/>
                </w:r>
              </w:sdtContent>
            </w:sdt>
          </w:p>
          <w:p w:rsidR="00D65017" w:rsidRPr="00D65017" w:rsidRDefault="00BB2FEA" w:rsidP="00D65017">
            <w:pPr>
              <w:spacing w:after="0" w:line="240" w:lineRule="auto"/>
              <w:rPr>
                <w:color w:val="000000"/>
              </w:rPr>
            </w:pPr>
            <w:sdt>
              <w:sdtPr>
                <w:rPr>
                  <w:color w:val="000000"/>
                </w:rPr>
                <w:id w:val="1665744176"/>
                <w:citation/>
              </w:sdtPr>
              <w:sdtContent>
                <w:r>
                  <w:rPr>
                    <w:color w:val="000000"/>
                  </w:rPr>
                  <w:fldChar w:fldCharType="begin"/>
                </w:r>
                <w:r>
                  <w:rPr>
                    <w:color w:val="000000"/>
                    <w:lang w:val="en-CA"/>
                  </w:rPr>
                  <w:instrText xml:space="preserve"> CITATION Mik99 \l 4105 </w:instrText>
                </w:r>
                <w:r>
                  <w:rPr>
                    <w:color w:val="000000"/>
                  </w:rPr>
                  <w:fldChar w:fldCharType="separate"/>
                </w:r>
                <w:r w:rsidRPr="00BB2FEA">
                  <w:rPr>
                    <w:noProof/>
                    <w:color w:val="000000"/>
                    <w:lang w:val="en-CA"/>
                  </w:rPr>
                  <w:t>(Mikhail Larionov – Natalia Goncharova: Shedevry is parizhskogo naslediia: zhivopis)</w:t>
                </w:r>
                <w:r>
                  <w:rPr>
                    <w:color w:val="000000"/>
                  </w:rPr>
                  <w:fldChar w:fldCharType="end"/>
                </w:r>
              </w:sdtContent>
            </w:sdt>
            <w:bookmarkStart w:id="0" w:name="_GoBack"/>
            <w:bookmarkEnd w:id="0"/>
          </w:p>
          <w:p w:rsidR="003235A7" w:rsidRPr="00E06B87" w:rsidRDefault="003D741B" w:rsidP="00D65017">
            <w:pPr>
              <w:spacing w:after="0" w:line="240" w:lineRule="auto"/>
              <w:rPr>
                <w:color w:val="000000"/>
              </w:rPr>
            </w:pPr>
            <w:sdt>
              <w:sdtPr>
                <w:rPr>
                  <w:color w:val="000000"/>
                </w:rPr>
                <w:id w:val="-395595182"/>
                <w:citation/>
              </w:sdtPr>
              <w:sdtContent>
                <w:r>
                  <w:rPr>
                    <w:color w:val="000000"/>
                  </w:rPr>
                  <w:fldChar w:fldCharType="begin"/>
                </w:r>
                <w:r>
                  <w:rPr>
                    <w:color w:val="000000"/>
                    <w:lang w:val="en-CA"/>
                  </w:rPr>
                  <w:instrText xml:space="preserve"> CITATION War13 \l 4105 </w:instrText>
                </w:r>
                <w:r>
                  <w:rPr>
                    <w:color w:val="000000"/>
                  </w:rPr>
                  <w:fldChar w:fldCharType="separate"/>
                </w:r>
                <w:r w:rsidRPr="003D741B">
                  <w:rPr>
                    <w:noProof/>
                    <w:color w:val="000000"/>
                    <w:lang w:val="en-CA"/>
                  </w:rPr>
                  <w:t>(Warren)</w:t>
                </w:r>
                <w:r>
                  <w:rPr>
                    <w:color w:val="000000"/>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51F1" w:rsidRDefault="008251F1" w:rsidP="007A0D55">
      <w:pPr>
        <w:spacing w:after="0" w:line="240" w:lineRule="auto"/>
      </w:pPr>
      <w:r>
        <w:separator/>
      </w:r>
    </w:p>
  </w:endnote>
  <w:endnote w:type="continuationSeparator" w:id="0">
    <w:p w:rsidR="008251F1" w:rsidRDefault="008251F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51F1" w:rsidRDefault="008251F1" w:rsidP="007A0D55">
      <w:pPr>
        <w:spacing w:after="0" w:line="240" w:lineRule="auto"/>
      </w:pPr>
      <w:r>
        <w:separator/>
      </w:r>
    </w:p>
  </w:footnote>
  <w:footnote w:type="continuationSeparator" w:id="0">
    <w:p w:rsidR="008251F1" w:rsidRDefault="008251F1"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4F2"/>
    <w:rsid w:val="00032559"/>
    <w:rsid w:val="00052040"/>
    <w:rsid w:val="00096FA8"/>
    <w:rsid w:val="000B25AE"/>
    <w:rsid w:val="000B55AB"/>
    <w:rsid w:val="000D24DC"/>
    <w:rsid w:val="00101B2E"/>
    <w:rsid w:val="00116FA0"/>
    <w:rsid w:val="0015114C"/>
    <w:rsid w:val="001A21F3"/>
    <w:rsid w:val="001A2537"/>
    <w:rsid w:val="001A69BE"/>
    <w:rsid w:val="001A6A06"/>
    <w:rsid w:val="001D1ACC"/>
    <w:rsid w:val="001D6B23"/>
    <w:rsid w:val="00210C03"/>
    <w:rsid w:val="002162E2"/>
    <w:rsid w:val="00225C5A"/>
    <w:rsid w:val="002264F2"/>
    <w:rsid w:val="00230B10"/>
    <w:rsid w:val="00234353"/>
    <w:rsid w:val="002423FB"/>
    <w:rsid w:val="00244BB0"/>
    <w:rsid w:val="002A0A0D"/>
    <w:rsid w:val="002B0B37"/>
    <w:rsid w:val="002D062F"/>
    <w:rsid w:val="0030662D"/>
    <w:rsid w:val="003235A7"/>
    <w:rsid w:val="003677B6"/>
    <w:rsid w:val="003D3579"/>
    <w:rsid w:val="003D741B"/>
    <w:rsid w:val="003E2795"/>
    <w:rsid w:val="003E7BE6"/>
    <w:rsid w:val="003F0D73"/>
    <w:rsid w:val="0043763A"/>
    <w:rsid w:val="004503F5"/>
    <w:rsid w:val="00462DBE"/>
    <w:rsid w:val="00464699"/>
    <w:rsid w:val="00483379"/>
    <w:rsid w:val="00487BC5"/>
    <w:rsid w:val="00496888"/>
    <w:rsid w:val="004A7476"/>
    <w:rsid w:val="004E5896"/>
    <w:rsid w:val="00504A1D"/>
    <w:rsid w:val="00513EE6"/>
    <w:rsid w:val="00534F8F"/>
    <w:rsid w:val="005350E8"/>
    <w:rsid w:val="00537F73"/>
    <w:rsid w:val="00590035"/>
    <w:rsid w:val="005B177E"/>
    <w:rsid w:val="005B3921"/>
    <w:rsid w:val="005F26D7"/>
    <w:rsid w:val="005F5450"/>
    <w:rsid w:val="006D0412"/>
    <w:rsid w:val="007411B9"/>
    <w:rsid w:val="00757699"/>
    <w:rsid w:val="00780D95"/>
    <w:rsid w:val="00780DC7"/>
    <w:rsid w:val="007A0D55"/>
    <w:rsid w:val="007B3377"/>
    <w:rsid w:val="007E5F44"/>
    <w:rsid w:val="00821DE3"/>
    <w:rsid w:val="008251F1"/>
    <w:rsid w:val="00837FE7"/>
    <w:rsid w:val="00846CE1"/>
    <w:rsid w:val="00875FB4"/>
    <w:rsid w:val="008A5B87"/>
    <w:rsid w:val="0090233A"/>
    <w:rsid w:val="00922950"/>
    <w:rsid w:val="00924D37"/>
    <w:rsid w:val="00965B53"/>
    <w:rsid w:val="009A7264"/>
    <w:rsid w:val="009D1606"/>
    <w:rsid w:val="009E18A1"/>
    <w:rsid w:val="009E73D7"/>
    <w:rsid w:val="00A27D2C"/>
    <w:rsid w:val="00A76FD9"/>
    <w:rsid w:val="00AB436D"/>
    <w:rsid w:val="00AD2F24"/>
    <w:rsid w:val="00AD4844"/>
    <w:rsid w:val="00B219AE"/>
    <w:rsid w:val="00B33145"/>
    <w:rsid w:val="00B574C9"/>
    <w:rsid w:val="00BB2FEA"/>
    <w:rsid w:val="00BC39C9"/>
    <w:rsid w:val="00BE5BF7"/>
    <w:rsid w:val="00BE6347"/>
    <w:rsid w:val="00BF40E1"/>
    <w:rsid w:val="00C27FAB"/>
    <w:rsid w:val="00C358D4"/>
    <w:rsid w:val="00C6296B"/>
    <w:rsid w:val="00CA723A"/>
    <w:rsid w:val="00CC586D"/>
    <w:rsid w:val="00CF1542"/>
    <w:rsid w:val="00CF3EC5"/>
    <w:rsid w:val="00D06DDC"/>
    <w:rsid w:val="00D57855"/>
    <w:rsid w:val="00D65017"/>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EA63"/>
  <w15:chartTrackingRefBased/>
  <w15:docId w15:val="{99BFE12B-0BFD-4E88-B02D-796AACE9A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semiHidden/>
    <w:rsid w:val="00875FB4"/>
    <w:rPr>
      <w:color w:val="0563C1" w:themeColor="hyperlink"/>
      <w:u w:val="single"/>
    </w:rPr>
  </w:style>
  <w:style w:type="paragraph" w:styleId="Caption">
    <w:name w:val="caption"/>
    <w:basedOn w:val="Normal"/>
    <w:next w:val="Normal"/>
    <w:uiPriority w:val="35"/>
    <w:semiHidden/>
    <w:qFormat/>
    <w:rsid w:val="00875FB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652196">
      <w:bodyDiv w:val="1"/>
      <w:marLeft w:val="0"/>
      <w:marRight w:val="0"/>
      <w:marTop w:val="0"/>
      <w:marBottom w:val="0"/>
      <w:divBdr>
        <w:top w:val="none" w:sz="0" w:space="0" w:color="auto"/>
        <w:left w:val="none" w:sz="0" w:space="0" w:color="auto"/>
        <w:bottom w:val="none" w:sz="0" w:space="0" w:color="auto"/>
        <w:right w:val="none" w:sz="0" w:space="0" w:color="auto"/>
      </w:divBdr>
    </w:div>
    <w:div w:id="683433467">
      <w:bodyDiv w:val="1"/>
      <w:marLeft w:val="0"/>
      <w:marRight w:val="0"/>
      <w:marTop w:val="0"/>
      <w:marBottom w:val="0"/>
      <w:divBdr>
        <w:top w:val="none" w:sz="0" w:space="0" w:color="auto"/>
        <w:left w:val="none" w:sz="0" w:space="0" w:color="auto"/>
        <w:bottom w:val="none" w:sz="0" w:space="0" w:color="auto"/>
        <w:right w:val="none" w:sz="0" w:space="0" w:color="auto"/>
      </w:divBdr>
    </w:div>
    <w:div w:id="702250057">
      <w:bodyDiv w:val="1"/>
      <w:marLeft w:val="0"/>
      <w:marRight w:val="0"/>
      <w:marTop w:val="0"/>
      <w:marBottom w:val="0"/>
      <w:divBdr>
        <w:top w:val="none" w:sz="0" w:space="0" w:color="auto"/>
        <w:left w:val="none" w:sz="0" w:space="0" w:color="auto"/>
        <w:bottom w:val="none" w:sz="0" w:space="0" w:color="auto"/>
        <w:right w:val="none" w:sz="0" w:space="0" w:color="auto"/>
      </w:divBdr>
    </w:div>
    <w:div w:id="726538967">
      <w:bodyDiv w:val="1"/>
      <w:marLeft w:val="0"/>
      <w:marRight w:val="0"/>
      <w:marTop w:val="0"/>
      <w:marBottom w:val="0"/>
      <w:divBdr>
        <w:top w:val="none" w:sz="0" w:space="0" w:color="auto"/>
        <w:left w:val="none" w:sz="0" w:space="0" w:color="auto"/>
        <w:bottom w:val="none" w:sz="0" w:space="0" w:color="auto"/>
        <w:right w:val="none" w:sz="0" w:space="0" w:color="auto"/>
      </w:divBdr>
    </w:div>
    <w:div w:id="735251401">
      <w:bodyDiv w:val="1"/>
      <w:marLeft w:val="0"/>
      <w:marRight w:val="0"/>
      <w:marTop w:val="0"/>
      <w:marBottom w:val="0"/>
      <w:divBdr>
        <w:top w:val="none" w:sz="0" w:space="0" w:color="auto"/>
        <w:left w:val="none" w:sz="0" w:space="0" w:color="auto"/>
        <w:bottom w:val="none" w:sz="0" w:space="0" w:color="auto"/>
        <w:right w:val="none" w:sz="0" w:space="0" w:color="auto"/>
      </w:divBdr>
    </w:div>
    <w:div w:id="836770832">
      <w:bodyDiv w:val="1"/>
      <w:marLeft w:val="0"/>
      <w:marRight w:val="0"/>
      <w:marTop w:val="0"/>
      <w:marBottom w:val="0"/>
      <w:divBdr>
        <w:top w:val="none" w:sz="0" w:space="0" w:color="auto"/>
        <w:left w:val="none" w:sz="0" w:space="0" w:color="auto"/>
        <w:bottom w:val="none" w:sz="0" w:space="0" w:color="auto"/>
        <w:right w:val="none" w:sz="0" w:space="0" w:color="auto"/>
      </w:divBdr>
    </w:div>
    <w:div w:id="1098252889">
      <w:bodyDiv w:val="1"/>
      <w:marLeft w:val="0"/>
      <w:marRight w:val="0"/>
      <w:marTop w:val="0"/>
      <w:marBottom w:val="0"/>
      <w:divBdr>
        <w:top w:val="none" w:sz="0" w:space="0" w:color="auto"/>
        <w:left w:val="none" w:sz="0" w:space="0" w:color="auto"/>
        <w:bottom w:val="none" w:sz="0" w:space="0" w:color="auto"/>
        <w:right w:val="none" w:sz="0" w:space="0" w:color="auto"/>
      </w:divBdr>
    </w:div>
    <w:div w:id="1387221954">
      <w:bodyDiv w:val="1"/>
      <w:marLeft w:val="0"/>
      <w:marRight w:val="0"/>
      <w:marTop w:val="0"/>
      <w:marBottom w:val="0"/>
      <w:divBdr>
        <w:top w:val="none" w:sz="0" w:space="0" w:color="auto"/>
        <w:left w:val="none" w:sz="0" w:space="0" w:color="auto"/>
        <w:bottom w:val="none" w:sz="0" w:space="0" w:color="auto"/>
        <w:right w:val="none" w:sz="0" w:space="0" w:color="auto"/>
      </w:divBdr>
    </w:div>
    <w:div w:id="1607040508">
      <w:bodyDiv w:val="1"/>
      <w:marLeft w:val="0"/>
      <w:marRight w:val="0"/>
      <w:marTop w:val="0"/>
      <w:marBottom w:val="0"/>
      <w:divBdr>
        <w:top w:val="none" w:sz="0" w:space="0" w:color="auto"/>
        <w:left w:val="none" w:sz="0" w:space="0" w:color="auto"/>
        <w:bottom w:val="none" w:sz="0" w:space="0" w:color="auto"/>
        <w:right w:val="none" w:sz="0" w:space="0" w:color="auto"/>
      </w:divBdr>
    </w:div>
    <w:div w:id="190575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Ega131</b:Tag>
    <b:SourceType>Book</b:SourceType>
    <b:Guid>{A1307BAA-C609-4D05-8CDA-5776239F64CF}</b:Guid>
    <b:Title>Natalia Goncharova. Mikhail Larionov</b:Title>
    <b:Year>1913</b:Year>
    <b:City>Moscow</b:City>
    <b:Publisher>Miunster</b:Publisher>
    <b:Author>
      <b:Author>
        <b:NameList>
          <b:Person>
            <b:Last>Eganbiuri</b:Last>
            <b:First>Eli</b:First>
          </b:Person>
        </b:NameList>
      </b:Author>
    </b:Author>
    <b:RefOrder>1</b:RefOrder>
  </b:Source>
  <b:Source>
    <b:Tag>Geo66</b:Tag>
    <b:SourceType>Book</b:SourceType>
    <b:Guid>{1612568B-FBD4-491C-8DB1-BBFE5A09F660}</b:Guid>
    <b:Author>
      <b:Author>
        <b:NameList>
          <b:Person>
            <b:Last>George</b:Last>
            <b:First>Waldemar</b:First>
          </b:Person>
        </b:NameList>
      </b:Author>
    </b:Author>
    <b:Title>Michel Larionov</b:Title>
    <b:Year>1966</b:Year>
    <b:City>Paris</b:City>
    <b:Publisher>Bibliothèque des Arts</b:Publisher>
    <b:RefOrder>2</b:RefOrder>
  </b:Source>
  <b:Source>
    <b:Tag>Kov05</b:Tag>
    <b:SourceType>Book</b:SourceType>
    <b:Guid>{04C457C6-846D-4A46-A9C1-E6CA19DE190A}</b:Guid>
    <b:Author>
      <b:Author>
        <b:NameList>
          <b:Person>
            <b:Last>Kovalev</b:Last>
            <b:First>A.</b:First>
            <b:Middle>E.</b:Middle>
          </b:Person>
        </b:NameList>
      </b:Author>
    </b:Author>
    <b:Title>Mikhail Larionov v Rossii 1881-1915</b:Title>
    <b:Year>2005</b:Year>
    <b:City>Moskva</b:City>
    <b:Publisher>Khudozhestevennaia Gallereia Elizium</b:Publisher>
    <b:RefOrder>3</b:RefOrder>
  </b:Source>
  <b:Source>
    <b:Tag>Kov98</b:Tag>
    <b:SourceType>Book</b:SourceType>
    <b:Guid>{092A1D40-B962-4235-B49D-7512A83531D6}</b:Guid>
    <b:Author>
      <b:Author>
        <b:NameList>
          <b:Person>
            <b:Last>Kovtun</b:Last>
            <b:First>Evgeniy</b:First>
          </b:Person>
        </b:NameList>
      </b:Author>
    </b:Author>
    <b:Title>Mikhail Larionov</b:Title>
    <b:Year>1998</b:Year>
    <b:City>Bournemouth</b:City>
    <b:Publisher>Parktsone Press</b:Publisher>
    <b:RefOrder>4</b:RefOrder>
  </b:Source>
  <b:Source>
    <b:Tag>Log711</b:Tag>
    <b:SourceType>Book</b:SourceType>
    <b:Guid>{C07EBF28-0FFE-4550-A666-16C9D4FA4017}</b:Guid>
    <b:Author>
      <b:Author>
        <b:NameList>
          <b:Person>
            <b:Last>Loguine</b:Last>
            <b:First>T.</b:First>
          </b:Person>
        </b:NameList>
      </b:Author>
    </b:Author>
    <b:Title>Gontcharova et Larionov: 50 Ans à St. Germain-des-Près: Témoignages et Documents</b:Title>
    <b:Year>1971</b:Year>
    <b:City>Paris</b:City>
    <b:Publisher>Éditions Klincksieck</b:Publisher>
    <b:RefOrder>5</b:RefOrder>
  </b:Source>
  <b:Source>
    <b:Tag>Par93</b:Tag>
    <b:SourceType>Book</b:SourceType>
    <b:Guid>{61923EC1-F21F-4DC6-BDAD-1C889BEC0F77}</b:Guid>
    <b:Author>
      <b:Author>
        <b:NameList>
          <b:Person>
            <b:Last>Parton</b:Last>
            <b:First>Anthony</b:First>
          </b:Person>
        </b:NameList>
      </b:Author>
    </b:Author>
    <b:Title>Mikhail Larionov and the Russian Avant-Garde</b:Title>
    <b:Year>1993</b:Year>
    <b:City>Princeton and London</b:City>
    <b:Publisher>Princeton University Press and Thames &amp; Hudson</b:Publisher>
    <b:RefOrder>7</b:RefOrder>
  </b:Source>
  <b:Source>
    <b:Tag>War13</b:Tag>
    <b:SourceType>Book</b:SourceType>
    <b:Guid>{05EDDED0-2BFC-4E63-8689-E42ACC52136A}</b:Guid>
    <b:Author>
      <b:Author>
        <b:NameList>
          <b:Person>
            <b:Last>Warren</b:Last>
            <b:First>Sarah</b:First>
          </b:Person>
        </b:NameList>
      </b:Author>
    </b:Author>
    <b:Title>Mikhail Larionov and the Cultural Politics of Late Imperial Russia</b:Title>
    <b:Year>2013</b:Year>
    <b:City>Farnham</b:City>
    <b:Publisher>Ashgate</b:Publisher>
    <b:RefOrder>10</b:RefOrder>
  </b:Source>
  <b:Source>
    <b:Tag>MNA95</b:Tag>
    <b:SourceType>Book</b:SourceType>
    <b:Guid>{F0E0FE03-A14D-47D5-87BD-80AFD4D660AC}</b:Guid>
    <b:Author>
      <b:Author>
        <b:NameList>
          <b:Person>
            <b:Last>MNAM (Musée National d’Art Moderne</b:Last>
            <b:First>Paris)</b:First>
          </b:Person>
        </b:NameList>
      </b:Author>
    </b:Author>
    <b:Title>Nathalie Gontcharova – Michel Larionov: Collections du Musée National d’Art Moderne</b:Title>
    <b:Year>1995</b:Year>
    <b:City>Paris</b:City>
    <b:Publisher>Centre Georges Pompidou</b:Publisher>
    <b:RefOrder>6</b:RefOrder>
  </b:Source>
  <b:Source>
    <b:Tag>Pos05</b:Tag>
    <b:SourceType>Book</b:SourceType>
    <b:Guid>{609E9CEA-96FC-4F3E-87E1-7FA2084D1BCB}</b:Guid>
    <b:Author>
      <b:Author>
        <b:NameList>
          <b:Person>
            <b:Last>Pospelov</b:Last>
            <b:First>Gleb</b:First>
          </b:Person>
          <b:Person>
            <b:Last>Iliukhina</b:Last>
            <b:First>E.</b:First>
          </b:Person>
        </b:NameList>
      </b:Author>
    </b:Author>
    <b:Title>Mikhail Larionov: Zhivopis, grafika, teatr</b:Title>
    <b:Year>2005</b:Year>
    <b:City>Moskva</b:City>
    <b:Publisher>Izd. Galart &amp; Izd. ‘RA'</b:Publisher>
    <b:RefOrder>8</b:RefOrder>
  </b:Source>
  <b:Source>
    <b:Tag>Mik99</b:Tag>
    <b:SourceType>Misc</b:SourceType>
    <b:Guid>{4743A61E-3868-4063-B9DD-08CCF2F5A54A}</b:Guid>
    <b:Title>Mikhail Larionov – Natalia Goncharova: Shedevry is parizhskogo naslediia: zhivopis</b:Title>
    <b:Year>1999</b:Year>
    <b:City>Moscow</b:City>
    <b:Publisher>Tretiakov Gallery</b:Publisher>
    <b:RefOrder>9</b:RefOrder>
  </b:Source>
</b:Sources>
</file>

<file path=customXml/itemProps1.xml><?xml version="1.0" encoding="utf-8"?>
<ds:datastoreItem xmlns:ds="http://schemas.openxmlformats.org/officeDocument/2006/customXml" ds:itemID="{FFD74517-ACCF-402B-B674-757CA7086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13</TotalTime>
  <Pages>2</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16</cp:revision>
  <dcterms:created xsi:type="dcterms:W3CDTF">2016-08-03T22:43:00Z</dcterms:created>
  <dcterms:modified xsi:type="dcterms:W3CDTF">2016-08-03T22:58:00Z</dcterms:modified>
</cp:coreProperties>
</file>