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rFonts w:cs="Times New Roman" w:hAnsi="Times New Roman" w:eastAsia="Times New Roman" w:ascii="Times New Roman"/>
          <w:b w:val="1"/>
          <w:sz w:val="22"/>
          <w:rtl w:val="0"/>
        </w:rPr>
        <w:t xml:space="preserve">Young Vienna (Jung-Wien; das Junge Wien; Junges Wien; das junge Österreich; Jung-Österreich)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Young Vienna was an informal, heterogeneous literary circle that existed in Vienna for little more than a decade, beginning in approximately 1890. Hermann Bahr and his protégés Hugo von Hofmannsthal, Arthur Schnitzler, Richard Beer-Hofmann, and Felix Salten formed the core of the group, while Karl Kraus and Peter Altenberg were later, peripheral participants. Many other writers, most now forgotten, were involved to varying degrees. These included Felix Dörmann, Friedrich Michael Fels, Paul Goldmann, Jacques Joachim, Eduard Michael Kafka, Julius Kulka, Rudolf Lothar, and Richard Specht. The group often met at Café Griensteidl and, later, Café Central.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Unlike the naturalists in Berlin and Munich, Young Vienna put forth no coherent literary program, manifestos, or theories, and their literary production ranged from naturalism and impressionism to aestheticism, symbolism, and décadence. The only commonality among the writers, according to Bahr, was that they wanted “in all things and at all costs to be modern” [in allen Dingen um jeden Preis modern zu sein].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Young Vienna had no clear beginning, but the founding of the short-lived journal </w:t>
      </w:r>
      <w:r w:rsidRPr="00000000" w:rsidR="00000000" w:rsidDel="00000000">
        <w:rPr>
          <w:rFonts w:cs="Times New Roman" w:hAnsi="Times New Roman" w:eastAsia="Times New Roman" w:ascii="Times New Roman"/>
          <w:i w:val="1"/>
          <w:sz w:val="22"/>
          <w:rtl w:val="0"/>
        </w:rPr>
        <w:t xml:space="preserve">Moderne Dichtung </w:t>
      </w:r>
      <w:r w:rsidRPr="00000000" w:rsidR="00000000" w:rsidDel="00000000">
        <w:rPr>
          <w:rFonts w:cs="Times New Roman" w:hAnsi="Times New Roman" w:eastAsia="Times New Roman" w:ascii="Times New Roman"/>
          <w:sz w:val="22"/>
          <w:rtl w:val="0"/>
        </w:rPr>
        <w:t xml:space="preserve">in 1890 in Brno/Brünn (later </w:t>
      </w:r>
      <w:r w:rsidRPr="00000000" w:rsidR="00000000" w:rsidDel="00000000">
        <w:rPr>
          <w:rFonts w:cs="Times New Roman" w:hAnsi="Times New Roman" w:eastAsia="Times New Roman" w:ascii="Times New Roman"/>
          <w:i w:val="1"/>
          <w:sz w:val="22"/>
          <w:rtl w:val="0"/>
        </w:rPr>
        <w:t xml:space="preserve">Moderne Rundschau</w:t>
      </w:r>
      <w:r w:rsidRPr="00000000" w:rsidR="00000000" w:rsidDel="00000000">
        <w:rPr>
          <w:rFonts w:cs="Times New Roman" w:hAnsi="Times New Roman" w:eastAsia="Times New Roman" w:ascii="Times New Roman"/>
          <w:sz w:val="22"/>
          <w:rtl w:val="0"/>
        </w:rPr>
        <w:t xml:space="preserve"> based in Vienna) was pivotal. It started as an outlet for realism and naturalism in Austria, but increasingly published texts and criticism by many of the figures above. The editors (Kafka, Kulka, Joachim) gave Bahr a prominent voice from the start and also invited Henrik Ibsen to Vienna in 1891, signalling the pan-European context in which they viewed themselves. Moreover, analogous to Berlin, an attempt was made to found a </w:t>
      </w:r>
      <w:r w:rsidRPr="00000000" w:rsidR="00000000" w:rsidDel="00000000">
        <w:rPr>
          <w:rFonts w:cs="Times New Roman" w:hAnsi="Times New Roman" w:eastAsia="Times New Roman" w:ascii="Times New Roman"/>
          <w:i w:val="1"/>
          <w:sz w:val="22"/>
          <w:rtl w:val="0"/>
        </w:rPr>
        <w:t xml:space="preserve">Freie Bühne</w:t>
      </w:r>
      <w:r w:rsidRPr="00000000" w:rsidR="00000000" w:rsidDel="00000000">
        <w:rPr>
          <w:rFonts w:cs="Times New Roman" w:hAnsi="Times New Roman" w:eastAsia="Times New Roman" w:ascii="Times New Roman"/>
          <w:sz w:val="22"/>
          <w:rtl w:val="0"/>
        </w:rPr>
        <w:t xml:space="preserve"> in Vienna.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The name “Young Vienna” gestures toward the </w:t>
      </w:r>
      <w:r w:rsidRPr="00000000" w:rsidR="00000000" w:rsidDel="00000000">
        <w:rPr>
          <w:rFonts w:cs="Times New Roman" w:hAnsi="Times New Roman" w:eastAsia="Times New Roman" w:ascii="Times New Roman"/>
          <w:i w:val="1"/>
          <w:sz w:val="22"/>
          <w:rtl w:val="0"/>
        </w:rPr>
        <w:t xml:space="preserve">Junges Deutschland</w:t>
      </w:r>
      <w:r w:rsidRPr="00000000" w:rsidR="00000000" w:rsidDel="00000000">
        <w:rPr>
          <w:rFonts w:cs="Times New Roman" w:hAnsi="Times New Roman" w:eastAsia="Times New Roman" w:ascii="Times New Roman"/>
          <w:sz w:val="22"/>
          <w:rtl w:val="0"/>
        </w:rPr>
        <w:t xml:space="preserve"> movement of the </w:t>
      </w:r>
      <w:r w:rsidRPr="00000000" w:rsidR="00000000" w:rsidDel="00000000">
        <w:rPr>
          <w:rFonts w:cs="Times New Roman" w:hAnsi="Times New Roman" w:eastAsia="Times New Roman" w:ascii="Times New Roman"/>
          <w:i w:val="1"/>
          <w:sz w:val="22"/>
          <w:rtl w:val="0"/>
        </w:rPr>
        <w:t xml:space="preserve">Vormärz</w:t>
      </w:r>
      <w:r w:rsidRPr="00000000" w:rsidR="00000000" w:rsidDel="00000000">
        <w:rPr>
          <w:rFonts w:cs="Times New Roman" w:hAnsi="Times New Roman" w:eastAsia="Times New Roman" w:ascii="Times New Roman"/>
          <w:sz w:val="22"/>
          <w:rtl w:val="0"/>
        </w:rPr>
        <w:t xml:space="preserve"> period and the later </w:t>
      </w:r>
      <w:r w:rsidRPr="00000000" w:rsidR="00000000" w:rsidDel="00000000">
        <w:rPr>
          <w:rFonts w:cs="Times New Roman" w:hAnsi="Times New Roman" w:eastAsia="Times New Roman" w:ascii="Times New Roman"/>
          <w:i w:val="1"/>
          <w:sz w:val="22"/>
          <w:rtl w:val="0"/>
        </w:rPr>
        <w:t xml:space="preserve">Jüngstes Deutschland</w:t>
      </w:r>
      <w:r w:rsidRPr="00000000" w:rsidR="00000000" w:rsidDel="00000000">
        <w:rPr>
          <w:rFonts w:cs="Times New Roman" w:hAnsi="Times New Roman" w:eastAsia="Times New Roman" w:ascii="Times New Roman"/>
          <w:sz w:val="22"/>
          <w:rtl w:val="0"/>
        </w:rPr>
        <w:t xml:space="preserve"> movement of German naturalist writers centred in Berlin and Munich. As Gotthart Wunberg has noted, the name reflects a combination symptomatic of the time: it contextualises the transnationally “young”—the contemporary, new, and innovative—in its nationally localised particularism.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The Young Vienna circle was less interested than its German counterparts in programmatic theoretical positions and was more oriented toward practical literary and essayistic production. The Viennese favoured “inductive criticism” (Wunberg), taking the objects, events, and people they discuss as the basis for case-by-case reflection.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Unlike the George Circle, Young Vienna functioned through a wide network of personal and professional multipliers. Bahr, in particular, was a tireless advocate, mining his strong contacts to theatres and publishers (especially to S. Fischer, who published many of the Young Vienna authors).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After approximately 1902, the group, relatively diffuse from its beginnings, increasingly lost cohesion as its members moved on to other career opportunities (e.g., Hofmannsthal’s collaborations with the composer Richard Strauss; the end of Bahr’s journal </w:t>
      </w:r>
      <w:r w:rsidRPr="00000000" w:rsidR="00000000" w:rsidDel="00000000">
        <w:rPr>
          <w:rFonts w:cs="Times New Roman" w:hAnsi="Times New Roman" w:eastAsia="Times New Roman" w:ascii="Times New Roman"/>
          <w:i w:val="1"/>
          <w:sz w:val="22"/>
          <w:rtl w:val="0"/>
        </w:rPr>
        <w:t xml:space="preserve">Die Zeit</w:t>
      </w:r>
      <w:r w:rsidRPr="00000000" w:rsidR="00000000" w:rsidDel="00000000">
        <w:rPr>
          <w:rFonts w:cs="Times New Roman" w:hAnsi="Times New Roman" w:eastAsia="Times New Roman" w:ascii="Times New Roman"/>
          <w:sz w:val="22"/>
          <w:rtl w:val="0"/>
        </w:rPr>
        <w:t xml:space="preserve"> in 1902).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2"/>
          <w:rtl w:val="0"/>
        </w:rPr>
        <w:t xml:space="preserve">References and further reading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Lorenz, Dagmar (1995) </w:t>
      </w:r>
      <w:r w:rsidRPr="00000000" w:rsidR="00000000" w:rsidDel="00000000">
        <w:rPr>
          <w:rFonts w:cs="Times New Roman" w:hAnsi="Times New Roman" w:eastAsia="Times New Roman" w:ascii="Times New Roman"/>
          <w:i w:val="1"/>
          <w:sz w:val="22"/>
          <w:rtl w:val="0"/>
        </w:rPr>
        <w:t xml:space="preserve">Wiener Moderne</w:t>
      </w:r>
      <w:r w:rsidRPr="00000000" w:rsidR="00000000" w:rsidDel="00000000">
        <w:rPr>
          <w:rFonts w:cs="Times New Roman" w:hAnsi="Times New Roman" w:eastAsia="Times New Roman" w:ascii="Times New Roman"/>
          <w:sz w:val="22"/>
          <w:rtl w:val="0"/>
        </w:rPr>
        <w:t xml:space="preserve">, Stuttgart: Metzler.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Wunberg, Gotthart ed. (1981) </w:t>
      </w:r>
      <w:r w:rsidRPr="00000000" w:rsidR="00000000" w:rsidDel="00000000">
        <w:rPr>
          <w:rFonts w:cs="Times New Roman" w:hAnsi="Times New Roman" w:eastAsia="Times New Roman" w:ascii="Times New Roman"/>
          <w:i w:val="1"/>
          <w:sz w:val="22"/>
          <w:rtl w:val="0"/>
        </w:rPr>
        <w:t xml:space="preserve">Die Wiener Moderne. Literatur, Kunst und Musik zwischen 1890 und 1910</w:t>
      </w:r>
      <w:r w:rsidRPr="00000000" w:rsidR="00000000" w:rsidDel="00000000">
        <w:rPr>
          <w:rFonts w:cs="Times New Roman" w:hAnsi="Times New Roman" w:eastAsia="Times New Roman" w:ascii="Times New Roman"/>
          <w:sz w:val="22"/>
          <w:rtl w:val="0"/>
        </w:rPr>
        <w:t xml:space="preserve">, Stuttgart: Reclam.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Wunberg, Gotthart (1976) “Einführung des Herausgebers,” </w:t>
      </w:r>
      <w:r w:rsidRPr="00000000" w:rsidR="00000000" w:rsidDel="00000000">
        <w:rPr>
          <w:rFonts w:cs="Times New Roman" w:hAnsi="Times New Roman" w:eastAsia="Times New Roman" w:ascii="Times New Roman"/>
          <w:i w:val="1"/>
          <w:sz w:val="22"/>
          <w:rtl w:val="0"/>
        </w:rPr>
        <w:t xml:space="preserve">Das junge Wien. Österreichische Literatur- und Kunstkritik, 1887-1902</w:t>
      </w:r>
      <w:r w:rsidRPr="00000000" w:rsidR="00000000" w:rsidDel="00000000">
        <w:rPr>
          <w:rFonts w:cs="Times New Roman" w:hAnsi="Times New Roman" w:eastAsia="Times New Roman" w:ascii="Times New Roman"/>
          <w:sz w:val="22"/>
          <w:rtl w:val="0"/>
        </w:rPr>
        <w:t xml:space="preserve">, 2 vols., ed. Gotthart Wunberg, Tübingen: Niemeyer. XXXVII-XC.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Digital images to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1170432" cx="743712"/>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1170432" cx="743712"/>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Titel</w:t>
        <w:tab/>
        <w:tab/>
        <w:tab/>
        <w:t xml:space="preserve">Schnellfotografie aus dem Prater</w:t>
      </w:r>
    </w:p>
    <w:p w:rsidP="00000000" w:rsidRPr="00000000" w:rsidR="00000000" w:rsidDel="00000000" w:rsidRDefault="00000000">
      <w:pPr>
        <w:ind w:left="2160" w:hanging="2159"/>
        <w:contextualSpacing w:val="0"/>
      </w:pPr>
      <w:r w:rsidRPr="00000000" w:rsidR="00000000" w:rsidDel="00000000">
        <w:rPr>
          <w:rFonts w:cs="Times New Roman" w:hAnsi="Times New Roman" w:eastAsia="Times New Roman" w:ascii="Times New Roman"/>
          <w:sz w:val="22"/>
          <w:rtl w:val="0"/>
        </w:rPr>
        <w:t xml:space="preserve">Beschreibung</w:t>
        <w:tab/>
        <w:t xml:space="preserve">Schnellphotographie (Ferrotypie) aus dem Prater. Gruppenbild: Richard Beer-Hofmann und Hermann Bahr stehend, Hugo von Hofmannsthal und Arthur Schnitzler sitzend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Datierung</w:t>
        <w:tab/>
        <w:tab/>
        <w:t xml:space="preserve">1895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Sammlung</w:t>
        <w:tab/>
        <w:tab/>
        <w:t xml:space="preserve">Österreichische Nationalbibliothek Bildarchiv (bildarchivaustria.at)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Inventarnummer</w:t>
        <w:tab/>
        <w:t xml:space="preserve">AS 155 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2715768" cx="3813465"/>
            <wp:effectExtent t="0" b="0" r="0" l="0"/>
            <wp:docPr id="2" name="image01.jpg"/>
            <a:graphic>
              <a:graphicData uri="http://schemas.openxmlformats.org/drawingml/2006/picture">
                <pic:pic>
                  <pic:nvPicPr>
                    <pic:cNvPr id="0" name="image01.jpg"/>
                    <pic:cNvPicPr preferRelativeResize="0"/>
                  </pic:nvPicPr>
                  <pic:blipFill>
                    <a:blip r:embed="rId6"/>
                    <a:srcRect t="0" b="0" r="0" l="0"/>
                    <a:stretch>
                      <a:fillRect/>
                    </a:stretch>
                  </pic:blipFill>
                  <pic:spPr>
                    <a:xfrm>
                      <a:ext cy="2715768" cx="381346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Café Griensteidl in Vienna. 1896. Reinhold Volkel. Austria. Watercolor.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(Photo by DeAgostini/Getty Images)</w:t>
      </w:r>
    </w:p>
    <w:p w:rsidP="00000000" w:rsidRPr="00000000" w:rsidR="00000000" w:rsidDel="00000000" w:rsidRDefault="00000000">
      <w:pPr>
        <w:contextualSpacing w:val="0"/>
      </w:pPr>
      <w:hyperlink r:id="rId7">
        <w:r w:rsidRPr="00000000" w:rsidR="00000000" w:rsidDel="00000000">
          <w:rPr>
            <w:rFonts w:cs="Times New Roman" w:hAnsi="Times New Roman" w:eastAsia="Times New Roman" w:ascii="Times New Roman"/>
            <w:sz w:val="22"/>
            <w:rtl w:val="0"/>
          </w:rPr>
          <w:t xml:space="preserve">http://www.gettyimages.com/detail/news-photo/griensteidl-cafe-in-vienna-by-reinhold-volkel-austria-19th-news-photo/142082091</w:t>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0.jpg" Type="http://schemas.openxmlformats.org/officeDocument/2006/relationships/image" Id="rId5"/><Relationship Target="http://www.gettyimages.com/detail/news-photo/griensteidl-cafe-in-vienna-by-reinhold-volkel-austria-19th-news-photo/142082091"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Vienna_George.docx</dc:title>
</cp:coreProperties>
</file>