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End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EndPr/>
          <w:sdtContent>
            <w:tc>
              <w:tcPr>
                <w:tcW w:w="2073" w:type="dxa"/>
              </w:tcPr>
              <w:p w14:paraId="7F6172E0" w14:textId="77777777" w:rsidR="00B574C9" w:rsidRDefault="00D016CB" w:rsidP="00922950">
                <w:r w:rsidRPr="005D4C71">
                  <w:rPr>
                    <w:rFonts w:eastAsiaTheme="minorEastAsia"/>
                    <w:lang w:eastAsia="ja-JP"/>
                  </w:rPr>
                  <w:t>Geraldine</w:t>
                </w:r>
              </w:p>
            </w:tc>
          </w:sdtContent>
        </w:sdt>
        <w:sdt>
          <w:sdtPr>
            <w:alias w:val="Middle name"/>
            <w:tag w:val="authorMiddleName"/>
            <w:id w:val="-2076034781"/>
            <w:placeholder>
              <w:docPart w:val="9A908B4F21DC4C47887285EDDA58B541"/>
            </w:placeholder>
            <w:showingPlcHdr/>
            <w:text/>
          </w:sdtPr>
          <w:sdtEnd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End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End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End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alias w:val="Article headword"/>
            <w:tag w:val="articleHeadword"/>
            <w:id w:val="-361440020"/>
            <w:placeholder>
              <w:docPart w:val="8AAF8251CBCC394E967895A51D692747"/>
            </w:placeholder>
            <w:text/>
          </w:sdtPr>
          <w:sdtEnd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sidRPr="005D4C71">
                  <w:rPr>
                    <w:rFonts w:eastAsiaTheme="minorEastAsia"/>
                    <w:lang w:eastAsia="ja-JP"/>
                  </w:rPr>
                  <w:t xml:space="preserve">Ashton, Frederick William </w:t>
                </w:r>
                <w:proofErr w:type="spellStart"/>
                <w:r w:rsidRPr="005D4C71">
                  <w:rPr>
                    <w:rFonts w:eastAsiaTheme="minorEastAsia"/>
                    <w:lang w:eastAsia="ja-JP"/>
                  </w:rPr>
                  <w:t>Mallandaine</w:t>
                </w:r>
                <w:proofErr w:type="spellEnd"/>
                <w:r w:rsidR="005C3112" w:rsidRPr="005D4C71">
                  <w:rPr>
                    <w:rFonts w:eastAsiaTheme="minorEastAsia"/>
                    <w:lang w:eastAsia="ja-JP"/>
                  </w:rPr>
                  <w:t xml:space="preserve"> (1904-1988)</w:t>
                </w:r>
                <w:r w:rsidRPr="005D4C71">
                  <w:rPr>
                    <w:rFonts w:eastAsiaTheme="minorEastAsia"/>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End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EndPr/>
          <w:sdtContent>
            <w:tc>
              <w:tcPr>
                <w:tcW w:w="9016" w:type="dxa"/>
                <w:tcMar>
                  <w:top w:w="113" w:type="dxa"/>
                  <w:bottom w:w="113" w:type="dxa"/>
                </w:tcMar>
              </w:tcPr>
              <w:p w14:paraId="1ABC8E0F" w14:textId="57B731A4" w:rsidR="00E85A05" w:rsidRPr="00AA4A78" w:rsidRDefault="00AA4A78" w:rsidP="00420393">
                <w:pPr>
                  <w:rPr>
                    <w:b/>
                  </w:rPr>
                </w:pPr>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he pushed and mo</w:t>
                </w:r>
                <w:r w:rsidR="002F4C68">
                  <w:t>u</w:t>
                </w:r>
                <w:r>
                  <w:t xml:space="preserve">lded it to suit his own purposes. Concentrating chiefly on one-act works, his main stimulus was dance itself; ballet movement was central to his work. Even when he used narrative, he did so largely to explore dance. As a frequent collaborator with other </w:t>
                </w:r>
                <w:r w:rsidR="00420393">
                  <w:t>m</w:t>
                </w:r>
                <w:r>
                  <w:t xml:space="preserve">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rsidR="005D4C71">
                  <w:t xml:space="preserve"> [</w:t>
                </w:r>
                <w:r w:rsidRPr="00A825F2">
                  <w:rPr>
                    <w:i/>
                  </w:rPr>
                  <w:t>The Nightingale</w:t>
                </w:r>
                <w:r w:rsidR="005D4C71">
                  <w:t>]</w:t>
                </w:r>
                <w:r>
                  <w:t xml:space="preserve"> </w:t>
                </w:r>
                <w:r w:rsidR="005D4C71">
                  <w:t>(</w:t>
                </w:r>
                <w:r>
                  <w:t xml:space="preserve">1981).  </w:t>
                </w:r>
              </w:p>
            </w:tc>
          </w:sdtContent>
        </w:sdt>
      </w:tr>
      <w:tr w:rsidR="003F0D73" w14:paraId="79DD5FBA" w14:textId="77777777" w:rsidTr="003F0D73">
        <w:sdt>
          <w:sdtPr>
            <w:alias w:val="Article text"/>
            <w:tag w:val="articleText"/>
            <w:id w:val="634067588"/>
            <w:placeholder>
              <w:docPart w:val="FF389C323BCD324CB6F2CE73E3F330B7"/>
            </w:placeholder>
          </w:sdtPr>
          <w:sdtEndPr/>
          <w:sdtContent>
            <w:tc>
              <w:tcPr>
                <w:tcW w:w="9016" w:type="dxa"/>
                <w:tcMar>
                  <w:top w:w="113" w:type="dxa"/>
                  <w:bottom w:w="113" w:type="dxa"/>
                </w:tcMar>
              </w:tcPr>
              <w:sdt>
                <w:sdtPr>
                  <w:alias w:val="Abstract"/>
                  <w:tag w:val="abstract"/>
                  <w:id w:val="-1771298975"/>
                  <w:placeholder>
                    <w:docPart w:val="A93B78CD0C78EE4DBA7731A762CF9AE5"/>
                  </w:placeholder>
                </w:sdtPr>
                <w:sdtEndPr/>
                <w:sdtContent>
                  <w:p w14:paraId="5E1F8B2E" w14:textId="77777777" w:rsidR="00420393" w:rsidRDefault="005D4C71" w:rsidP="00420393">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he pushed and mo</w:t>
                    </w:r>
                    <w:r w:rsidR="004E750D">
                      <w:t>u</w:t>
                    </w:r>
                    <w:r>
                      <w:t xml:space="preserve">lded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t xml:space="preserve"> [</w:t>
                    </w:r>
                    <w:r w:rsidRPr="00A825F2">
                      <w:rPr>
                        <w:i/>
                      </w:rPr>
                      <w:t>The Nightingale</w:t>
                    </w:r>
                    <w:r>
                      <w:t xml:space="preserve">] (1981).  </w:t>
                    </w:r>
                  </w:p>
                  <w:p w14:paraId="12D4E3B7" w14:textId="7B2B5539" w:rsidR="000551B0" w:rsidRDefault="007C4BC1" w:rsidP="00420393"/>
                </w:sdtContent>
              </w:sdt>
              <w:p w14:paraId="0C30ACC4" w14:textId="77777777" w:rsidR="000551B0" w:rsidRPr="000250BB" w:rsidRDefault="000551B0" w:rsidP="00420393">
                <w:pPr>
                  <w:pStyle w:val="Heading1"/>
                  <w:outlineLvl w:val="0"/>
                </w:pPr>
                <w:r w:rsidRPr="000250BB">
                  <w:t>Dance Training and Background</w:t>
                </w:r>
              </w:p>
              <w:p w14:paraId="4260810B" w14:textId="080717AC" w:rsidR="000551B0" w:rsidRDefault="000551B0" w:rsidP="00420393">
                <w:r>
                  <w:t xml:space="preserve">Ashton’s upbringing in South America exposed him to social dance at an early age, but attending a performance by Anna Pavlova </w:t>
                </w:r>
                <w:r w:rsidR="00AA4A78">
                  <w:t>at</w:t>
                </w:r>
                <w:r>
                  <w:t xml:space="preserve"> ten </w:t>
                </w:r>
                <w:r w:rsidR="00AA4A78">
                  <w:t xml:space="preserve">years old changed his life: </w:t>
                </w:r>
                <w:r w:rsidR="005D4C71">
                  <w:t>i</w:t>
                </w:r>
                <w:r>
                  <w:t>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48717307" w14:textId="77777777" w:rsidR="00420393" w:rsidRDefault="00420393" w:rsidP="00420393"/>
              <w:p w14:paraId="30BDC164" w14:textId="772C7CAB" w:rsidR="000551B0" w:rsidRDefault="000551B0" w:rsidP="00420393">
                <w:r>
                  <w:t>Before leaving London a few months later, Massine recommended Ashton to Marie Rambert,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Vaslav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rsidR="005D4C71">
                  <w:t xml:space="preserve"> [</w:t>
                </w:r>
                <w:r w:rsidRPr="000250BB">
                  <w:rPr>
                    <w:i/>
                  </w:rPr>
                  <w:t>The Rite of Spring</w:t>
                </w:r>
                <w:r w:rsidR="005D4C71">
                  <w:t>]</w:t>
                </w:r>
                <w:r>
                  <w:t xml:space="preserve"> </w:t>
                </w:r>
                <w:r w:rsidR="005D4C71">
                  <w:t>(</w:t>
                </w:r>
                <w:r>
                  <w:t xml:space="preserve">1913), Rambert joined the </w:t>
                </w:r>
                <w:r w:rsidRPr="00AA4A78">
                  <w:rPr>
                    <w:i/>
                  </w:rPr>
                  <w:t>Ballets Russes</w:t>
                </w:r>
                <w:r w:rsidR="00AA4A78">
                  <w:t xml:space="preserve">. </w:t>
                </w:r>
                <w:r>
                  <w:t>She began taking class</w:t>
                </w:r>
                <w:r w:rsidR="00AA4A78">
                  <w:t>es</w:t>
                </w:r>
                <w:r>
                  <w:t xml:space="preserve"> with the ballet master Enrico Cecchetti,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w:t>
                </w:r>
                <w:r w:rsidR="004E750D">
                  <w:t>i-directional phrases;</w:t>
                </w:r>
                <w:r>
                  <w:t xml:space="preserve"> much of Ashton’s choreographed mo</w:t>
                </w:r>
                <w:r w:rsidR="00AA4A78">
                  <w:t>vement draws on this technique.</w:t>
                </w:r>
                <w:r>
                  <w:t xml:space="preserve"> Besides being an enthusiastic teacher, Rambert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4356AF2E" w14:textId="77777777" w:rsidR="00420393" w:rsidRDefault="00420393" w:rsidP="00420393"/>
              <w:p w14:paraId="70F7AF98" w14:textId="404B5C9D" w:rsidR="000551B0" w:rsidRDefault="00AA4A78" w:rsidP="00420393">
                <w:r>
                  <w:t>In 1928</w:t>
                </w:r>
                <w:r w:rsidR="000551B0">
                  <w:t xml:space="preserve"> Ashton was accepted</w:t>
                </w:r>
                <w:r>
                  <w:t xml:space="preserve"> by its choreographer, Bronislava Nijinska,</w:t>
                </w:r>
                <w:r w:rsidR="000551B0">
                  <w:t xml:space="preserve"> </w:t>
                </w:r>
                <w:r>
                  <w:t>into Ida Rubinstein’s newly-established</w:t>
                </w:r>
                <w:r w:rsidR="000551B0">
                  <w:t xml:space="preserve"> ballet company</w:t>
                </w:r>
                <w:r>
                  <w:t xml:space="preserve"> in Paris. </w:t>
                </w:r>
                <w:r w:rsidR="000551B0">
                  <w:t>From Nijinska,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5D4C71">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F8B572B" w14:textId="77777777" w:rsidR="00420393" w:rsidRDefault="00420393" w:rsidP="00420393"/>
              <w:p w14:paraId="5E07ED6F" w14:textId="0BBA5E22" w:rsidR="000551B0" w:rsidRDefault="000551B0" w:rsidP="00420393">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Cecchetti and the Royal Academy of Dancing, and, because there were </w:t>
                </w:r>
                <w:r w:rsidR="00F21859">
                  <w:t>only fledgling ballet companies</w:t>
                </w:r>
                <w:r>
                  <w:t xml:space="preserve"> providing little more than six to nine months paid work, the dancers also had to be equipped to perform in other dance genres, such as tap and revue-dancing.</w:t>
                </w:r>
              </w:p>
              <w:p w14:paraId="4F9BF632" w14:textId="77777777" w:rsidR="00420393" w:rsidRDefault="00420393" w:rsidP="00420393"/>
              <w:p w14:paraId="712CAABD" w14:textId="77777777" w:rsidR="000551B0" w:rsidRPr="000250BB" w:rsidRDefault="000551B0" w:rsidP="00420393">
                <w:pPr>
                  <w:pStyle w:val="Heading1"/>
                  <w:outlineLvl w:val="0"/>
                </w:pPr>
                <w:r w:rsidRPr="000250BB">
                  <w:t>Major Contributions to Ballet in Britain and to Modernism</w:t>
                </w:r>
              </w:p>
              <w:p w14:paraId="599F18AF" w14:textId="665F6D0F" w:rsidR="000551B0" w:rsidRDefault="000551B0" w:rsidP="00420393">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George Balanchine’s </w:t>
                </w:r>
                <w:r>
                  <w:rPr>
                    <w:i/>
                  </w:rPr>
                  <w:t>Apollo</w:t>
                </w:r>
                <w:r>
                  <w:t xml:space="preserve"> (1928) in </w:t>
                </w:r>
                <w:r w:rsidRPr="00C82019">
                  <w:rPr>
                    <w:i/>
                  </w:rPr>
                  <w:t>Tuesday’s Child</w:t>
                </w:r>
                <w:r>
                  <w:t xml:space="preserve"> in </w:t>
                </w:r>
                <w:r>
                  <w:rPr>
                    <w:i/>
                  </w:rPr>
                  <w:t>Jazz Calendar</w:t>
                </w:r>
                <w:r>
                  <w:t xml:space="preserve"> (1968)</w:t>
                </w:r>
                <w:r w:rsidR="00B8175A">
                  <w:t>,</w:t>
                </w:r>
                <w:r>
                  <w:t xml:space="preserve"> 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Pavlova, Duncan</w:t>
                </w:r>
                <w:r w:rsidR="00F21859">
                  <w:t>,</w:t>
                </w:r>
                <w:r w:rsidR="007710EB">
                  <w:t xml:space="preserve"> and Nijinska.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2D40B375" w14:textId="77777777" w:rsidR="00420393" w:rsidRDefault="00420393" w:rsidP="00420393">
                <w:pPr>
                  <w:rPr>
                    <w:u w:val="single"/>
                  </w:rPr>
                </w:pPr>
              </w:p>
              <w:p w14:paraId="0012EF90" w14:textId="75E7BE80" w:rsidR="000551B0" w:rsidRDefault="000551B0" w:rsidP="00420393">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w:t>
                </w:r>
                <w:r w:rsidR="00F21859">
                  <w:t>,</w:t>
                </w:r>
                <w:r>
                  <w:t xml:space="preserve">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or example, when t</w:t>
                </w:r>
                <w:r w:rsidR="005D4C71">
                  <w:t>he character Julia is ‘forlorn,’</w:t>
                </w:r>
                <w:r>
                  <w:t xml:space="preserve"> her emotional state is evident in her sudden collapses and despondent </w:t>
                </w:r>
                <w:r>
                  <w:rPr>
                    <w:i/>
                  </w:rPr>
                  <w:t>pas de bourrée couru</w:t>
                </w:r>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pas de bourrée</w:t>
                </w:r>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26315A6F" w14:textId="77777777" w:rsidR="00420393" w:rsidRDefault="00420393" w:rsidP="00420393"/>
              <w:p w14:paraId="675CCA59" w14:textId="2D41CF6E" w:rsidR="000551B0" w:rsidRDefault="000551B0" w:rsidP="00420393">
                <w:r>
                  <w:t xml:space="preserve">In the years after the Second World War, Ashton created a number of plotless ballets. Both </w:t>
                </w:r>
                <w:r>
                  <w:rPr>
                    <w:i/>
                  </w:rPr>
                  <w:t>Symphonic Variations</w:t>
                </w:r>
                <w:r>
                  <w:t xml:space="preserve"> (1946) and </w:t>
                </w:r>
                <w:r>
                  <w:rPr>
                    <w:i/>
                  </w:rPr>
                  <w:t>Scènes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 xml:space="preserve">Inspired by Ashton’s readings of the mystic saints, St. Theresa of Avila and St. John of the </w:t>
                </w:r>
                <w:proofErr w:type="gramStart"/>
                <w:r>
                  <w:t>Cross,</w:t>
                </w:r>
                <w:proofErr w:type="gramEnd"/>
                <w:r>
                  <w:t xml:space="preserve"> the ballet</w:t>
                </w:r>
                <w:r w:rsidR="00C82019">
                  <w:t xml:space="preserve"> is</w:t>
                </w:r>
                <w:r>
                  <w:t xml:space="preserve"> concerned </w:t>
                </w:r>
                <w:r w:rsidR="00C82019">
                  <w:t xml:space="preserve">with </w:t>
                </w:r>
                <w:r>
                  <w:t>divine love and ecstasy.  Despite this, there is no narrative; the theme is expressed wholly through movement.</w:t>
                </w:r>
              </w:p>
              <w:p w14:paraId="4E672060" w14:textId="77777777" w:rsidR="00420393" w:rsidRDefault="00420393" w:rsidP="00420393"/>
              <w:p w14:paraId="382057B9" w14:textId="1C518CDB" w:rsidR="000551B0" w:rsidRDefault="000551B0" w:rsidP="00420393">
                <w:proofErr w:type="spellStart"/>
                <w:r>
                  <w:rPr>
                    <w:i/>
                  </w:rPr>
                  <w:t>Scènes</w:t>
                </w:r>
                <w:proofErr w:type="spellEnd"/>
                <w:r>
                  <w:rPr>
                    <w:i/>
                  </w:rPr>
                  <w:t xml:space="preserve">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6551EAB9" w14:textId="77777777" w:rsidR="00420393" w:rsidRDefault="00420393" w:rsidP="00420393"/>
              <w:p w14:paraId="5806E1FF" w14:textId="12D574AA" w:rsidR="000551B0" w:rsidRDefault="000551B0" w:rsidP="00420393">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Nijinska’s </w:t>
                </w:r>
                <w:r>
                  <w:rPr>
                    <w:i/>
                  </w:rPr>
                  <w:t>Les Biches</w:t>
                </w:r>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Les Biches</w:t>
                </w:r>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2A6B1F9" w14:textId="77777777" w:rsidR="00420393" w:rsidRDefault="00420393" w:rsidP="00420393"/>
              <w:p w14:paraId="24F3ABF0" w14:textId="33C9DAB3" w:rsidR="000551B0" w:rsidRDefault="000551B0" w:rsidP="00420393">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plotless work to the music of Maurice Ravel, he revisited a ballet first choreographed by Nijinska, </w:t>
                </w:r>
                <w:r>
                  <w:lastRenderedPageBreak/>
                  <w:t>using the grand swooping movements of the waltz to evoke the decadent atmosphere</w:t>
                </w:r>
                <w:r w:rsidR="00CE150F">
                  <w:t xml:space="preserve"> of Vienna before World War I. </w:t>
                </w:r>
                <w:r>
                  <w:t xml:space="preserve">In </w:t>
                </w:r>
                <w:r>
                  <w:rPr>
                    <w:i/>
                  </w:rPr>
                  <w:t>Monotones I &amp; II</w:t>
                </w:r>
                <w:r>
                  <w:t xml:space="preserve"> (1965-66) Ashton returned to the spare, pared-down choreography of his earlier pure dance works. Finally, </w:t>
                </w:r>
                <w:r>
                  <w:rPr>
                    <w:i/>
                  </w:rPr>
                  <w:t>Jazz Calendar</w:t>
                </w:r>
                <w:r>
                  <w:t xml:space="preserve"> (1968) was </w:t>
                </w:r>
                <w:r w:rsidR="00CE150F">
                  <w:t xml:space="preserve">another work that looked back — </w:t>
                </w:r>
                <w:r>
                  <w:t xml:space="preserve">this time to the dances and sounds of the Jazz Age, even though Derek </w:t>
                </w:r>
                <w:proofErr w:type="spellStart"/>
                <w:r>
                  <w:t>Jarman’s</w:t>
                </w:r>
                <w:proofErr w:type="spellEnd"/>
                <w:r>
                  <w:t xml:space="preserve"> scenery and costumes were perceived as the epitome of swinging London. </w:t>
                </w:r>
              </w:p>
              <w:p w14:paraId="20064D1D" w14:textId="77777777" w:rsidR="00420393" w:rsidRDefault="00420393" w:rsidP="00420393"/>
              <w:p w14:paraId="35C6B4B2" w14:textId="77777777" w:rsidR="000551B0" w:rsidRDefault="000551B0" w:rsidP="00420393">
                <w:pPr>
                  <w:pStyle w:val="Heading1"/>
                  <w:outlineLvl w:val="0"/>
                </w:pPr>
                <w:r>
                  <w:t>Legacy</w:t>
                </w:r>
              </w:p>
              <w:p w14:paraId="230EE7CF" w14:textId="5676F535" w:rsidR="000551B0" w:rsidRDefault="000551B0" w:rsidP="00420393">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except perhaps Nijinska</w:t>
                </w:r>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65F173C7" w14:textId="6E8CB50B" w:rsidR="000A346B" w:rsidRDefault="000551B0" w:rsidP="00420393">
                <w:r>
                  <w:t xml:space="preserve">While music was often the genesis for Ashton’s works, his choreographic </w:t>
                </w:r>
                <w:r w:rsidRPr="00DD1036">
                  <w:rPr>
                    <w:i/>
                  </w:rPr>
                  <w:t>oeuvre</w:t>
                </w:r>
                <w:r>
                  <w:t xml:space="preserve"> includes narrative, thema</w:t>
                </w:r>
                <w:r w:rsidR="007813B8">
                  <w:t xml:space="preserve">tic and wholly plotless works. </w:t>
                </w:r>
                <w:r>
                  <w:t xml:space="preserve">His chosen narratives are slight, though as the dance writer Edwin </w:t>
                </w:r>
                <w:proofErr w:type="spellStart"/>
                <w:r>
                  <w:t>Denby</w:t>
                </w:r>
                <w:proofErr w:type="spellEnd"/>
                <w:r>
                  <w:t xml:space="preserve"> pointed </w:t>
                </w:r>
                <w:r w:rsidRPr="00053EA9">
                  <w:t>out, the ‘more trivial the subject the deeper and more beautiful is Ashton’s poetic view of it’</w:t>
                </w:r>
                <w:r w:rsidR="00C82019">
                  <w:t xml:space="preserve"> (</w:t>
                </w:r>
                <w:proofErr w:type="spellStart"/>
                <w:r w:rsidR="00C82019">
                  <w:t>Denby</w:t>
                </w:r>
                <w:proofErr w:type="spellEnd"/>
                <w:r w:rsidR="00C82019">
                  <w:t>,</w:t>
                </w:r>
                <w:r w:rsidR="00053EA9" w:rsidRPr="00053EA9">
                  <w:t xml:space="preserve"> 426).</w:t>
                </w:r>
                <w:r w:rsidR="007813B8" w:rsidRPr="00053EA9">
                  <w:t xml:space="preserve"> </w:t>
                </w:r>
                <w:r w:rsidRPr="00053EA9">
                  <w:t xml:space="preserve">Ashton’s task was to establish a British style of ballet, and he did this by allying his art with the strategies and approaches of modernism. </w:t>
                </w:r>
              </w:p>
              <w:p w14:paraId="2CC91918" w14:textId="77777777" w:rsidR="00420393" w:rsidRDefault="00420393" w:rsidP="00420393">
                <w:pPr>
                  <w:rPr>
                    <w:highlight w:val="yellow"/>
                  </w:rPr>
                </w:pPr>
              </w:p>
              <w:p w14:paraId="279EFACE" w14:textId="38D4323B" w:rsidR="000A346B" w:rsidRPr="00E67A47" w:rsidRDefault="000A346B" w:rsidP="00420393">
                <w:pPr>
                  <w:pStyle w:val="Heading1"/>
                  <w:outlineLvl w:val="0"/>
                </w:pPr>
                <w:r>
                  <w:t xml:space="preserve">Selected </w:t>
                </w:r>
                <w:r w:rsidRPr="00E67A47">
                  <w:t>List of Works</w:t>
                </w:r>
                <w:r w:rsidR="00CE150F">
                  <w:t>:</w:t>
                </w:r>
              </w:p>
              <w:p w14:paraId="19087759" w14:textId="77777777" w:rsidR="000A346B" w:rsidRDefault="000A346B" w:rsidP="00420393">
                <w:r>
                  <w:rPr>
                    <w:i/>
                  </w:rPr>
                  <w:t>A Tragedy of Fashion</w:t>
                </w:r>
                <w:r>
                  <w:t xml:space="preserve"> (1926)</w:t>
                </w:r>
              </w:p>
              <w:p w14:paraId="74D741E2" w14:textId="77777777" w:rsidR="000A346B" w:rsidRDefault="000A346B" w:rsidP="00420393">
                <w:r>
                  <w:rPr>
                    <w:i/>
                  </w:rPr>
                  <w:t>The Fairy-Queen</w:t>
                </w:r>
                <w:r>
                  <w:t xml:space="preserve"> (1927)</w:t>
                </w:r>
              </w:p>
              <w:p w14:paraId="01076FEB" w14:textId="77777777" w:rsidR="000A346B" w:rsidRDefault="000A346B" w:rsidP="00420393">
                <w:r>
                  <w:rPr>
                    <w:i/>
                  </w:rPr>
                  <w:t>Leda</w:t>
                </w:r>
                <w:r>
                  <w:t xml:space="preserve"> (1928)</w:t>
                </w:r>
              </w:p>
              <w:p w14:paraId="155D44BE" w14:textId="77777777" w:rsidR="000A346B" w:rsidRDefault="000A346B" w:rsidP="00420393">
                <w:r>
                  <w:rPr>
                    <w:i/>
                  </w:rPr>
                  <w:t>Capriol Suite</w:t>
                </w:r>
                <w:r>
                  <w:t xml:space="preserve"> (1930)</w:t>
                </w:r>
              </w:p>
              <w:p w14:paraId="3622F39C" w14:textId="77777777" w:rsidR="000A346B" w:rsidRDefault="000A346B" w:rsidP="00420393">
                <w:r>
                  <w:rPr>
                    <w:i/>
                  </w:rPr>
                  <w:t>Pomona</w:t>
                </w:r>
                <w:r>
                  <w:t xml:space="preserve"> (1930)</w:t>
                </w:r>
              </w:p>
              <w:p w14:paraId="75E86AB1" w14:textId="77777777" w:rsidR="000A346B" w:rsidRDefault="000A346B" w:rsidP="00420393">
                <w:r>
                  <w:rPr>
                    <w:i/>
                  </w:rPr>
                  <w:t xml:space="preserve">La </w:t>
                </w:r>
                <w:proofErr w:type="spellStart"/>
                <w:r>
                  <w:rPr>
                    <w:i/>
                  </w:rPr>
                  <w:t>Péri</w:t>
                </w:r>
                <w:proofErr w:type="spellEnd"/>
                <w:r>
                  <w:t xml:space="preserve"> (1931)</w:t>
                </w:r>
              </w:p>
              <w:p w14:paraId="705207AD" w14:textId="77777777" w:rsidR="000A346B" w:rsidRDefault="000A346B" w:rsidP="00420393">
                <w:r>
                  <w:rPr>
                    <w:i/>
                  </w:rPr>
                  <w:t>Façade</w:t>
                </w:r>
                <w:r>
                  <w:t xml:space="preserve"> (1931)</w:t>
                </w:r>
              </w:p>
              <w:p w14:paraId="15FD6FF6" w14:textId="77777777" w:rsidR="000A346B" w:rsidRDefault="000A346B" w:rsidP="00420393">
                <w:r>
                  <w:rPr>
                    <w:i/>
                  </w:rPr>
                  <w:t xml:space="preserve">The Lady of </w:t>
                </w:r>
                <w:proofErr w:type="spellStart"/>
                <w:r>
                  <w:rPr>
                    <w:i/>
                  </w:rPr>
                  <w:t>Shalott</w:t>
                </w:r>
                <w:proofErr w:type="spellEnd"/>
                <w:r>
                  <w:t xml:space="preserve"> (1931)</w:t>
                </w:r>
              </w:p>
              <w:p w14:paraId="36BCEA70" w14:textId="77777777" w:rsidR="000A346B" w:rsidRDefault="000A346B" w:rsidP="00420393">
                <w:r>
                  <w:rPr>
                    <w:i/>
                  </w:rPr>
                  <w:t>Foyer de Danse</w:t>
                </w:r>
                <w:r>
                  <w:t xml:space="preserve"> (1932)</w:t>
                </w:r>
              </w:p>
              <w:p w14:paraId="087A9BC3" w14:textId="77777777" w:rsidR="000A346B" w:rsidRDefault="000A346B" w:rsidP="00420393">
                <w:r>
                  <w:rPr>
                    <w:i/>
                  </w:rPr>
                  <w:t>Les Rendezvous</w:t>
                </w:r>
                <w:r>
                  <w:t xml:space="preserve"> (1933)</w:t>
                </w:r>
              </w:p>
              <w:p w14:paraId="62B64FD8" w14:textId="77777777" w:rsidR="000A346B" w:rsidRDefault="000A346B" w:rsidP="00420393">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420393">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420393">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420393">
                <w:r>
                  <w:rPr>
                    <w:i/>
                  </w:rPr>
                  <w:t>Apparitions</w:t>
                </w:r>
                <w:r>
                  <w:t xml:space="preserve"> (1936)</w:t>
                </w:r>
              </w:p>
              <w:p w14:paraId="4BBED5EE" w14:textId="77777777" w:rsidR="000A346B" w:rsidRDefault="000A346B" w:rsidP="00420393">
                <w:r>
                  <w:rPr>
                    <w:i/>
                  </w:rPr>
                  <w:t>Nocturne</w:t>
                </w:r>
                <w:r>
                  <w:t xml:space="preserve"> (1936)</w:t>
                </w:r>
              </w:p>
              <w:p w14:paraId="7321F75B" w14:textId="60762BBE" w:rsidR="000A346B" w:rsidRDefault="000A346B" w:rsidP="00420393">
                <w:r>
                  <w:rPr>
                    <w:i/>
                  </w:rPr>
                  <w:t xml:space="preserve">Les </w:t>
                </w:r>
                <w:proofErr w:type="spellStart"/>
                <w:r>
                  <w:rPr>
                    <w:i/>
                  </w:rPr>
                  <w:t>Patineurs</w:t>
                </w:r>
                <w:proofErr w:type="spellEnd"/>
                <w:r w:rsidR="00053EA9">
                  <w:t xml:space="preserve"> (1937</w:t>
                </w:r>
                <w:r>
                  <w:t>)</w:t>
                </w:r>
              </w:p>
              <w:p w14:paraId="791B4D79" w14:textId="77777777" w:rsidR="000A346B" w:rsidRDefault="000A346B" w:rsidP="00420393">
                <w:r>
                  <w:rPr>
                    <w:i/>
                  </w:rPr>
                  <w:t>A Wedding Bouquet</w:t>
                </w:r>
                <w:r>
                  <w:t xml:space="preserve">  (1937)</w:t>
                </w:r>
              </w:p>
              <w:p w14:paraId="27781F0F" w14:textId="77777777" w:rsidR="000A346B" w:rsidRDefault="000A346B" w:rsidP="00420393">
                <w:r>
                  <w:rPr>
                    <w:i/>
                  </w:rPr>
                  <w:t>Horoscope</w:t>
                </w:r>
                <w:r>
                  <w:t xml:space="preserve"> (1938)</w:t>
                </w:r>
              </w:p>
              <w:p w14:paraId="464C3EEB" w14:textId="77777777" w:rsidR="000A346B" w:rsidRDefault="000A346B" w:rsidP="00420393">
                <w:r>
                  <w:rPr>
                    <w:i/>
                  </w:rPr>
                  <w:t>The Judgement of Paris</w:t>
                </w:r>
                <w:r>
                  <w:t xml:space="preserve"> (1938)</w:t>
                </w:r>
              </w:p>
              <w:p w14:paraId="7616873F" w14:textId="77777777" w:rsidR="000A346B" w:rsidRDefault="000A346B" w:rsidP="00420393">
                <w:r>
                  <w:rPr>
                    <w:i/>
                  </w:rPr>
                  <w:t>Cupid and Psyche</w:t>
                </w:r>
                <w:r>
                  <w:t xml:space="preserve"> (1939)</w:t>
                </w:r>
              </w:p>
              <w:p w14:paraId="594F7FD6" w14:textId="77777777" w:rsidR="000A346B" w:rsidRDefault="000A346B" w:rsidP="00420393">
                <w:r>
                  <w:rPr>
                    <w:i/>
                  </w:rPr>
                  <w:t>Dante Sonata</w:t>
                </w:r>
                <w:r>
                  <w:t xml:space="preserve"> (1940)</w:t>
                </w:r>
              </w:p>
              <w:p w14:paraId="59E809A2" w14:textId="77777777" w:rsidR="000A346B" w:rsidRDefault="000A346B" w:rsidP="00420393">
                <w:r>
                  <w:rPr>
                    <w:i/>
                  </w:rPr>
                  <w:t>The Wise Virgins</w:t>
                </w:r>
                <w:r>
                  <w:t xml:space="preserve"> (1940)</w:t>
                </w:r>
              </w:p>
              <w:p w14:paraId="35C68456" w14:textId="77777777" w:rsidR="000A346B" w:rsidRDefault="000A346B" w:rsidP="00420393">
                <w:r>
                  <w:rPr>
                    <w:i/>
                  </w:rPr>
                  <w:t>The Wanderer</w:t>
                </w:r>
                <w:r>
                  <w:t xml:space="preserve"> (1941)</w:t>
                </w:r>
              </w:p>
              <w:p w14:paraId="1BCFB415" w14:textId="77777777" w:rsidR="000A346B" w:rsidRDefault="000A346B" w:rsidP="00420393">
                <w:r>
                  <w:rPr>
                    <w:i/>
                  </w:rPr>
                  <w:t>The Quest</w:t>
                </w:r>
                <w:r>
                  <w:t xml:space="preserve"> (1943)</w:t>
                </w:r>
              </w:p>
              <w:p w14:paraId="0A3C3F22" w14:textId="77777777" w:rsidR="000A346B" w:rsidRDefault="000A346B" w:rsidP="00420393">
                <w:r>
                  <w:rPr>
                    <w:i/>
                  </w:rPr>
                  <w:t>Symphonic Variations</w:t>
                </w:r>
                <w:r>
                  <w:t xml:space="preserve"> (1946)</w:t>
                </w:r>
              </w:p>
              <w:p w14:paraId="444EA2FD" w14:textId="77777777" w:rsidR="000A346B" w:rsidRDefault="000A346B" w:rsidP="00420393">
                <w:r>
                  <w:rPr>
                    <w:i/>
                  </w:rPr>
                  <w:t xml:space="preserve">Les </w:t>
                </w:r>
                <w:proofErr w:type="spellStart"/>
                <w:r>
                  <w:rPr>
                    <w:i/>
                  </w:rPr>
                  <w:t>Sirènes</w:t>
                </w:r>
                <w:proofErr w:type="spellEnd"/>
                <w:r>
                  <w:t xml:space="preserve"> (1946)</w:t>
                </w:r>
              </w:p>
              <w:p w14:paraId="17CFA120" w14:textId="77777777" w:rsidR="000A346B" w:rsidRDefault="000A346B" w:rsidP="00420393">
                <w:r>
                  <w:rPr>
                    <w:i/>
                  </w:rPr>
                  <w:t>The Fairy-Queen</w:t>
                </w:r>
                <w:r>
                  <w:t xml:space="preserve"> (1946)</w:t>
                </w:r>
              </w:p>
              <w:p w14:paraId="1364FA9B" w14:textId="77777777" w:rsidR="000A346B" w:rsidRDefault="000A346B" w:rsidP="00420393">
                <w:proofErr w:type="spellStart"/>
                <w:r>
                  <w:rPr>
                    <w:i/>
                  </w:rPr>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420393">
                <w:pPr>
                  <w:widowControl w:val="0"/>
                </w:pPr>
                <w:r>
                  <w:rPr>
                    <w:i/>
                  </w:rPr>
                  <w:lastRenderedPageBreak/>
                  <w:t>Scènes de ballet</w:t>
                </w:r>
                <w:r>
                  <w:t xml:space="preserve"> (1948)</w:t>
                </w:r>
              </w:p>
              <w:p w14:paraId="1060BD3A" w14:textId="20B46665" w:rsidR="000A346B" w:rsidRDefault="000A346B" w:rsidP="00420393">
                <w:pPr>
                  <w:widowControl w:val="0"/>
                </w:pPr>
                <w:r>
                  <w:rPr>
                    <w:i/>
                  </w:rPr>
                  <w:t>Don Juan</w:t>
                </w:r>
                <w:r>
                  <w:t xml:space="preserve"> (1948)</w:t>
                </w:r>
              </w:p>
              <w:p w14:paraId="6A480C32" w14:textId="77777777" w:rsidR="000A346B" w:rsidRDefault="000A346B" w:rsidP="00420393">
                <w:pPr>
                  <w:widowControl w:val="0"/>
                </w:pPr>
                <w:r>
                  <w:rPr>
                    <w:i/>
                  </w:rPr>
                  <w:t>Cinderella</w:t>
                </w:r>
                <w:r>
                  <w:t xml:space="preserve"> (1948)</w:t>
                </w:r>
              </w:p>
              <w:p w14:paraId="6908C7DB" w14:textId="77777777" w:rsidR="000A346B" w:rsidRDefault="000A346B" w:rsidP="00420393">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420393">
                <w:pPr>
                  <w:widowControl w:val="0"/>
                </w:pPr>
                <w:r>
                  <w:rPr>
                    <w:i/>
                  </w:rPr>
                  <w:t>Illuminations</w:t>
                </w:r>
                <w:r>
                  <w:t xml:space="preserve"> (1950)</w:t>
                </w:r>
              </w:p>
              <w:p w14:paraId="33313BB0" w14:textId="77777777" w:rsidR="000A346B" w:rsidRDefault="000A346B" w:rsidP="00420393">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420393">
                <w:pPr>
                  <w:widowControl w:val="0"/>
                </w:pPr>
                <w:r>
                  <w:rPr>
                    <w:i/>
                  </w:rPr>
                  <w:t>Tiresias</w:t>
                </w:r>
                <w:r>
                  <w:t xml:space="preserve"> (1951)</w:t>
                </w:r>
              </w:p>
              <w:p w14:paraId="55FA9B4C" w14:textId="77777777" w:rsidR="000A346B" w:rsidRDefault="000A346B" w:rsidP="00420393">
                <w:pPr>
                  <w:widowControl w:val="0"/>
                </w:pPr>
                <w:r>
                  <w:rPr>
                    <w:i/>
                  </w:rPr>
                  <w:t>Sylvia</w:t>
                </w:r>
                <w:r>
                  <w:t xml:space="preserve"> (1952)</w:t>
                </w:r>
              </w:p>
              <w:p w14:paraId="0A249825" w14:textId="77777777" w:rsidR="000A346B" w:rsidRDefault="000A346B" w:rsidP="00420393">
                <w:pPr>
                  <w:widowControl w:val="0"/>
                </w:pPr>
                <w:r>
                  <w:rPr>
                    <w:i/>
                  </w:rPr>
                  <w:t>Picnic at Tintagel</w:t>
                </w:r>
                <w:r>
                  <w:t xml:space="preserve"> (1952)</w:t>
                </w:r>
              </w:p>
              <w:p w14:paraId="38ED6C47" w14:textId="77777777" w:rsidR="000A346B" w:rsidRDefault="000A346B" w:rsidP="00420393">
                <w:pPr>
                  <w:widowControl w:val="0"/>
                </w:pPr>
                <w:r>
                  <w:rPr>
                    <w:i/>
                  </w:rPr>
                  <w:t>Romeo and Juliet</w:t>
                </w:r>
                <w:r>
                  <w:t xml:space="preserve">  (1955)</w:t>
                </w:r>
              </w:p>
              <w:p w14:paraId="075FB969" w14:textId="77777777" w:rsidR="000A346B" w:rsidRDefault="000A346B" w:rsidP="00420393">
                <w:pPr>
                  <w:widowControl w:val="0"/>
                </w:pPr>
                <w:proofErr w:type="spellStart"/>
                <w:r>
                  <w:rPr>
                    <w:i/>
                  </w:rPr>
                  <w:t>Rinaldo</w:t>
                </w:r>
                <w:proofErr w:type="spellEnd"/>
                <w:r>
                  <w:rPr>
                    <w:i/>
                  </w:rPr>
                  <w:t xml:space="preserve"> and Armida</w:t>
                </w:r>
                <w:r>
                  <w:t xml:space="preserve"> (1955)</w:t>
                </w:r>
              </w:p>
              <w:p w14:paraId="7E58ADE8" w14:textId="77777777" w:rsidR="000A346B" w:rsidRDefault="000A346B" w:rsidP="00420393">
                <w:pPr>
                  <w:widowControl w:val="0"/>
                </w:pPr>
                <w:r>
                  <w:rPr>
                    <w:i/>
                  </w:rPr>
                  <w:t xml:space="preserve">La </w:t>
                </w:r>
                <w:proofErr w:type="spellStart"/>
                <w:r>
                  <w:rPr>
                    <w:i/>
                  </w:rPr>
                  <w:t>Péri</w:t>
                </w:r>
                <w:proofErr w:type="spellEnd"/>
                <w:r>
                  <w:t xml:space="preserve"> (1956)</w:t>
                </w:r>
              </w:p>
              <w:p w14:paraId="2B14A966" w14:textId="77777777" w:rsidR="000A346B" w:rsidRDefault="000A346B" w:rsidP="00420393">
                <w:pPr>
                  <w:widowControl w:val="0"/>
                </w:pPr>
                <w:r>
                  <w:rPr>
                    <w:i/>
                  </w:rPr>
                  <w:t>Birthday Offering</w:t>
                </w:r>
                <w:r>
                  <w:t xml:space="preserve"> (1956)</w:t>
                </w:r>
              </w:p>
              <w:p w14:paraId="52B37B4E" w14:textId="77777777" w:rsidR="000A346B" w:rsidRDefault="000A346B" w:rsidP="00420393">
                <w:pPr>
                  <w:widowControl w:val="0"/>
                </w:pPr>
                <w:r>
                  <w:rPr>
                    <w:i/>
                  </w:rPr>
                  <w:t>Ondine</w:t>
                </w:r>
                <w:r>
                  <w:t xml:space="preserve"> (1958)</w:t>
                </w:r>
              </w:p>
              <w:p w14:paraId="4A8E4397" w14:textId="77777777" w:rsidR="000A346B" w:rsidRDefault="000A346B" w:rsidP="00420393">
                <w:pPr>
                  <w:widowControl w:val="0"/>
                </w:pPr>
                <w:r>
                  <w:rPr>
                    <w:i/>
                  </w:rPr>
                  <w:t xml:space="preserve">La </w:t>
                </w:r>
                <w:proofErr w:type="spellStart"/>
                <w:r>
                  <w:rPr>
                    <w:i/>
                  </w:rPr>
                  <w:t>Valse</w:t>
                </w:r>
                <w:proofErr w:type="spellEnd"/>
                <w:r>
                  <w:t xml:space="preserve"> (1958)</w:t>
                </w:r>
              </w:p>
              <w:p w14:paraId="4EC3D30B" w14:textId="77777777" w:rsidR="000A346B" w:rsidRDefault="000A346B" w:rsidP="00420393">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420393">
                <w:pPr>
                  <w:widowControl w:val="0"/>
                </w:pPr>
                <w:r>
                  <w:rPr>
                    <w:i/>
                  </w:rPr>
                  <w:t>Persephone</w:t>
                </w:r>
                <w:r>
                  <w:t xml:space="preserve"> (1961)</w:t>
                </w:r>
              </w:p>
              <w:p w14:paraId="6E260DA9" w14:textId="77777777" w:rsidR="000A346B" w:rsidRDefault="000A346B" w:rsidP="00420393">
                <w:pPr>
                  <w:widowControl w:val="0"/>
                </w:pPr>
                <w:r>
                  <w:rPr>
                    <w:i/>
                  </w:rPr>
                  <w:t>The Two Pigeons</w:t>
                </w:r>
                <w:r>
                  <w:t xml:space="preserve"> (1961)</w:t>
                </w:r>
              </w:p>
              <w:p w14:paraId="44E707BA" w14:textId="77777777" w:rsidR="000A346B" w:rsidRDefault="000A346B" w:rsidP="00420393">
                <w:pPr>
                  <w:widowControl w:val="0"/>
                </w:pPr>
                <w:r>
                  <w:rPr>
                    <w:i/>
                  </w:rPr>
                  <w:t>Marguerite et Armand</w:t>
                </w:r>
                <w:r>
                  <w:t xml:space="preserve"> (1963)</w:t>
                </w:r>
              </w:p>
              <w:p w14:paraId="6E2043CF" w14:textId="77777777" w:rsidR="000A346B" w:rsidRDefault="000A346B" w:rsidP="00420393">
                <w:pPr>
                  <w:widowControl w:val="0"/>
                </w:pPr>
                <w:r>
                  <w:rPr>
                    <w:i/>
                  </w:rPr>
                  <w:t>The Dream</w:t>
                </w:r>
                <w:r>
                  <w:t xml:space="preserve"> (1964)</w:t>
                </w:r>
              </w:p>
              <w:p w14:paraId="66D642D9" w14:textId="77777777" w:rsidR="000A346B" w:rsidRDefault="000A346B" w:rsidP="00420393">
                <w:pPr>
                  <w:widowControl w:val="0"/>
                </w:pPr>
                <w:r>
                  <w:rPr>
                    <w:i/>
                  </w:rPr>
                  <w:t>Monotones</w:t>
                </w:r>
                <w:r>
                  <w:t xml:space="preserve"> (1965)</w:t>
                </w:r>
              </w:p>
              <w:p w14:paraId="44CF7957" w14:textId="77777777" w:rsidR="000A346B" w:rsidRDefault="000A346B" w:rsidP="00420393">
                <w:pPr>
                  <w:widowControl w:val="0"/>
                </w:pPr>
                <w:r>
                  <w:rPr>
                    <w:i/>
                  </w:rPr>
                  <w:t>Jazz Calendar</w:t>
                </w:r>
                <w:r>
                  <w:t xml:space="preserve"> (1968)</w:t>
                </w:r>
              </w:p>
              <w:p w14:paraId="666ED7C5" w14:textId="77777777" w:rsidR="000A346B" w:rsidRDefault="000A346B" w:rsidP="00420393">
                <w:pPr>
                  <w:widowControl w:val="0"/>
                </w:pPr>
                <w:r>
                  <w:rPr>
                    <w:i/>
                  </w:rPr>
                  <w:t>Enigma Variations</w:t>
                </w:r>
                <w:r>
                  <w:t xml:space="preserve"> (1968)</w:t>
                </w:r>
              </w:p>
              <w:p w14:paraId="45588040" w14:textId="77777777" w:rsidR="000A346B" w:rsidRDefault="000A346B" w:rsidP="00420393">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420393">
                <w:pPr>
                  <w:widowControl w:val="0"/>
                </w:pPr>
                <w:r>
                  <w:rPr>
                    <w:i/>
                  </w:rPr>
                  <w:t>Lament of the Waves</w:t>
                </w:r>
                <w:r>
                  <w:t xml:space="preserve"> (1970)</w:t>
                </w:r>
              </w:p>
              <w:p w14:paraId="0FB7B401" w14:textId="77777777" w:rsidR="000A346B" w:rsidRDefault="000A346B" w:rsidP="00420393">
                <w:pPr>
                  <w:widowControl w:val="0"/>
                </w:pPr>
                <w:r>
                  <w:rPr>
                    <w:i/>
                  </w:rPr>
                  <w:t>The Walk to the Paradise Garden</w:t>
                </w:r>
                <w:r>
                  <w:t xml:space="preserve"> (1972)</w:t>
                </w:r>
              </w:p>
              <w:p w14:paraId="15814F86" w14:textId="146D8FB6" w:rsidR="000A346B" w:rsidRDefault="000A346B" w:rsidP="00420393">
                <w:pPr>
                  <w:widowControl w:val="0"/>
                </w:pPr>
                <w:r>
                  <w:rPr>
                    <w:i/>
                  </w:rPr>
                  <w:t>Five Brahms Waltzes</w:t>
                </w:r>
                <w:r w:rsidR="00C82019">
                  <w:rPr>
                    <w:i/>
                  </w:rPr>
                  <w:t xml:space="preserve"> in the Manner of Isadora Duncan</w:t>
                </w:r>
                <w:r w:rsidR="00C82019">
                  <w:t xml:space="preserve"> (1976</w:t>
                </w:r>
                <w:r>
                  <w:t>)</w:t>
                </w:r>
              </w:p>
              <w:p w14:paraId="4DD52A58" w14:textId="77777777" w:rsidR="00C82019" w:rsidRDefault="000A346B" w:rsidP="00420393">
                <w:pPr>
                  <w:widowControl w:val="0"/>
                </w:pPr>
                <w:r>
                  <w:rPr>
                    <w:i/>
                  </w:rPr>
                  <w:t>A Month in the Country</w:t>
                </w:r>
                <w:r>
                  <w:t xml:space="preserve"> (1976)</w:t>
                </w:r>
              </w:p>
              <w:p w14:paraId="0A4450D3" w14:textId="79EE54C3" w:rsidR="003F0D73" w:rsidRDefault="00C82019" w:rsidP="00420393">
                <w:pPr>
                  <w:widowControl w:val="0"/>
                </w:pPr>
                <w:r>
                  <w:rPr>
                    <w:i/>
                  </w:rPr>
                  <w:t>Rhapsody</w:t>
                </w:r>
                <w:r>
                  <w:t xml:space="preserve"> (1980)</w:t>
                </w:r>
              </w:p>
            </w:tc>
          </w:sdtContent>
        </w:sdt>
      </w:tr>
      <w:tr w:rsidR="003235A7" w14:paraId="2FD8A780" w14:textId="77777777" w:rsidTr="003235A7">
        <w:tc>
          <w:tcPr>
            <w:tcW w:w="9016" w:type="dxa"/>
          </w:tcPr>
          <w:p w14:paraId="2AD15289" w14:textId="3F97C505" w:rsidR="000A346B" w:rsidRDefault="003235A7" w:rsidP="00420393">
            <w:r w:rsidRPr="0015114C">
              <w:rPr>
                <w:u w:val="single"/>
              </w:rPr>
              <w:lastRenderedPageBreak/>
              <w:t>Further reading</w:t>
            </w:r>
            <w:r>
              <w:t>:</w:t>
            </w:r>
          </w:p>
          <w:sdt>
            <w:sdtPr>
              <w:alias w:val="Further reading"/>
              <w:tag w:val="furtherReading"/>
              <w:id w:val="-1516217107"/>
              <w:placeholder>
                <w:docPart w:val="6CDD4637283E4540A557DE34C2AC5DDF"/>
              </w:placeholder>
            </w:sdtPr>
            <w:sdtEndPr/>
            <w:sdtContent>
              <w:p w14:paraId="46F1ED0C" w14:textId="3E2E8A42" w:rsidR="000A346B" w:rsidRDefault="007C4BC1" w:rsidP="00420393">
                <w:sdt>
                  <w:sdtPr>
                    <w:id w:val="466488302"/>
                    <w:citation/>
                  </w:sdtPr>
                  <w:sdtEndPr/>
                  <w:sdtContent>
                    <w:r w:rsidR="000A346B">
                      <w:fldChar w:fldCharType="begin"/>
                    </w:r>
                    <w:r w:rsidR="00597A7D">
                      <w:rPr>
                        <w:lang w:val="en-US"/>
                      </w:rPr>
                      <w:instrText xml:space="preserve">CITATION Garafola11 \l 1033 </w:instrText>
                    </w:r>
                    <w:r w:rsidR="000A346B">
                      <w:fldChar w:fldCharType="separate"/>
                    </w:r>
                    <w:r w:rsidR="00597A7D">
                      <w:rPr>
                        <w:noProof/>
                        <w:lang w:val="en-US"/>
                      </w:rPr>
                      <w:t xml:space="preserve"> (Garafola)</w:t>
                    </w:r>
                    <w:r w:rsidR="000A346B">
                      <w:fldChar w:fldCharType="end"/>
                    </w:r>
                  </w:sdtContent>
                </w:sdt>
              </w:p>
              <w:p w14:paraId="301333C9" w14:textId="77777777" w:rsidR="007C4BC1" w:rsidRDefault="007C4BC1" w:rsidP="00420393"/>
              <w:p w14:paraId="5E23A1FE" w14:textId="151E1594" w:rsidR="00053EA9" w:rsidRDefault="007C4BC1" w:rsidP="00420393">
                <w:sdt>
                  <w:sdtPr>
                    <w:id w:val="2025434560"/>
                    <w:citation/>
                  </w:sdtPr>
                  <w:sdtEndPr/>
                  <w:sdtContent>
                    <w:r w:rsidR="000A346B">
                      <w:fldChar w:fldCharType="begin"/>
                    </w:r>
                    <w:r w:rsidR="00597A7D">
                      <w:rPr>
                        <w:lang w:val="en-US"/>
                      </w:rPr>
                      <w:instrText xml:space="preserve">CITATION Dance96 \l 1033 </w:instrText>
                    </w:r>
                    <w:r w:rsidR="000A346B">
                      <w:fldChar w:fldCharType="separate"/>
                    </w:r>
                    <w:r w:rsidR="00597A7D">
                      <w:rPr>
                        <w:noProof/>
                        <w:lang w:val="en-US"/>
                      </w:rPr>
                      <w:t>(Dance Books)</w:t>
                    </w:r>
                    <w:r w:rsidR="000A346B">
                      <w:fldChar w:fldCharType="end"/>
                    </w:r>
                  </w:sdtContent>
                </w:sdt>
              </w:p>
              <w:p w14:paraId="3517D30C" w14:textId="77777777" w:rsidR="007C4BC1" w:rsidRDefault="007C4BC1" w:rsidP="00420393"/>
              <w:p w14:paraId="13896D20" w14:textId="52AEC08F" w:rsidR="000A346B" w:rsidRDefault="007C4BC1" w:rsidP="00420393">
                <w:sdt>
                  <w:sdtPr>
                    <w:id w:val="1764651960"/>
                    <w:citation/>
                  </w:sdtPr>
                  <w:sdtEndPr/>
                  <w:sdtContent>
                    <w:r w:rsidR="00053EA9">
                      <w:fldChar w:fldCharType="begin"/>
                    </w:r>
                    <w:r w:rsidR="00597A7D">
                      <w:rPr>
                        <w:lang w:val="en-US"/>
                      </w:rPr>
                      <w:instrText xml:space="preserve">CITATION Denby86 \p Denby \n  \l 1033 </w:instrText>
                    </w:r>
                    <w:r w:rsidR="00053EA9">
                      <w:fldChar w:fldCharType="separate"/>
                    </w:r>
                    <w:r w:rsidR="00597A7D">
                      <w:rPr>
                        <w:noProof/>
                        <w:lang w:val="en-US"/>
                      </w:rPr>
                      <w:t>(Dance Writings Denby)</w:t>
                    </w:r>
                    <w:r w:rsidR="00053EA9">
                      <w:fldChar w:fldCharType="end"/>
                    </w:r>
                  </w:sdtContent>
                </w:sdt>
              </w:p>
              <w:p w14:paraId="1CEA54E8" w14:textId="77777777" w:rsidR="007C4BC1" w:rsidRDefault="007C4BC1" w:rsidP="00420393"/>
              <w:p w14:paraId="52078241" w14:textId="02666265" w:rsidR="000A346B" w:rsidRDefault="007C4BC1" w:rsidP="00420393">
                <w:sdt>
                  <w:sdtPr>
                    <w:id w:val="-251198231"/>
                    <w:citation/>
                  </w:sdtPr>
                  <w:sdtEndPr/>
                  <w:sdtContent>
                    <w:r w:rsidR="000A346B">
                      <w:fldChar w:fldCharType="begin"/>
                    </w:r>
                    <w:r w:rsidR="00597A7D">
                      <w:rPr>
                        <w:lang w:val="en-US"/>
                      </w:rPr>
                      <w:instrText xml:space="preserve">CITATION Jordan07 \l 1033 </w:instrText>
                    </w:r>
                    <w:r w:rsidR="000A346B">
                      <w:fldChar w:fldCharType="separate"/>
                    </w:r>
                    <w:r w:rsidR="00597A7D">
                      <w:rPr>
                        <w:noProof/>
                        <w:lang w:val="en-US"/>
                      </w:rPr>
                      <w:t>(Jordan)</w:t>
                    </w:r>
                    <w:r w:rsidR="000A346B">
                      <w:fldChar w:fldCharType="end"/>
                    </w:r>
                  </w:sdtContent>
                </w:sdt>
              </w:p>
              <w:p w14:paraId="0BA93D68" w14:textId="77777777" w:rsidR="007C4BC1" w:rsidRDefault="007C4BC1" w:rsidP="00420393"/>
              <w:p w14:paraId="088AA76F" w14:textId="2CD95C8A" w:rsidR="001C4105" w:rsidRDefault="007C4BC1" w:rsidP="00420393">
                <w:sdt>
                  <w:sdtPr>
                    <w:id w:val="-1181194627"/>
                    <w:citation/>
                  </w:sdtPr>
                  <w:sdtEndPr/>
                  <w:sdtContent>
                    <w:r w:rsidR="001C4105">
                      <w:fldChar w:fldCharType="begin"/>
                    </w:r>
                    <w:r w:rsidR="00597A7D">
                      <w:rPr>
                        <w:lang w:val="en-US"/>
                      </w:rPr>
                      <w:instrText xml:space="preserve">CITATION Kavanagh96 \l 1033 </w:instrText>
                    </w:r>
                    <w:r w:rsidR="001C4105">
                      <w:fldChar w:fldCharType="separate"/>
                    </w:r>
                    <w:r w:rsidR="00597A7D">
                      <w:rPr>
                        <w:noProof/>
                        <w:lang w:val="en-US"/>
                      </w:rPr>
                      <w:t>(Kavanagh)</w:t>
                    </w:r>
                    <w:r w:rsidR="001C4105">
                      <w:fldChar w:fldCharType="end"/>
                    </w:r>
                  </w:sdtContent>
                </w:sdt>
              </w:p>
              <w:p w14:paraId="0EFF0F6C" w14:textId="77777777" w:rsidR="007C4BC1" w:rsidRDefault="007C4BC1" w:rsidP="00420393"/>
              <w:p w14:paraId="033DA936" w14:textId="29BFD52E" w:rsidR="001C4105" w:rsidRDefault="007C4BC1" w:rsidP="00420393">
                <w:sdt>
                  <w:sdtPr>
                    <w:id w:val="-2004339902"/>
                    <w:citation/>
                  </w:sdtPr>
                  <w:sdtEndPr/>
                  <w:sdtContent>
                    <w:r w:rsidR="001C4105">
                      <w:fldChar w:fldCharType="begin"/>
                    </w:r>
                    <w:r w:rsidR="00597A7D">
                      <w:rPr>
                        <w:lang w:val="en-US"/>
                      </w:rPr>
                      <w:instrText xml:space="preserve">CITATION Macaulay87 \l 1033 </w:instrText>
                    </w:r>
                    <w:r w:rsidR="001C4105">
                      <w:fldChar w:fldCharType="separate"/>
                    </w:r>
                    <w:r w:rsidR="00597A7D">
                      <w:rPr>
                        <w:noProof/>
                        <w:lang w:val="en-US"/>
                      </w:rPr>
                      <w:t>(Macaulay)</w:t>
                    </w:r>
                    <w:r w:rsidR="001C4105">
                      <w:fldChar w:fldCharType="end"/>
                    </w:r>
                  </w:sdtContent>
                </w:sdt>
              </w:p>
              <w:p w14:paraId="3B17AFFD" w14:textId="77777777" w:rsidR="007C4BC1" w:rsidRDefault="007C4BC1" w:rsidP="00420393"/>
              <w:p w14:paraId="5504CA77" w14:textId="3F621549" w:rsidR="001C4105" w:rsidRDefault="007C4BC1" w:rsidP="00420393">
                <w:sdt>
                  <w:sdtPr>
                    <w:id w:val="-1094550409"/>
                    <w:citation/>
                  </w:sdtPr>
                  <w:sdtEndPr/>
                  <w:sdtContent>
                    <w:r w:rsidR="001C4105">
                      <w:fldChar w:fldCharType="begin"/>
                    </w:r>
                    <w:r w:rsidR="00597A7D">
                      <w:rPr>
                        <w:lang w:val="en-US"/>
                      </w:rPr>
                      <w:instrText xml:space="preserve">CITATION Morris12 \l 1033 </w:instrText>
                    </w:r>
                    <w:r w:rsidR="001C4105">
                      <w:fldChar w:fldCharType="separate"/>
                    </w:r>
                    <w:r w:rsidR="00597A7D">
                      <w:rPr>
                        <w:noProof/>
                        <w:lang w:val="en-US"/>
                      </w:rPr>
                      <w:t>(Morris)</w:t>
                    </w:r>
                    <w:r w:rsidR="001C4105">
                      <w:fldChar w:fldCharType="end"/>
                    </w:r>
                  </w:sdtContent>
                </w:sdt>
              </w:p>
              <w:p w14:paraId="76878F84" w14:textId="77777777" w:rsidR="007C4BC1" w:rsidRDefault="007C4BC1" w:rsidP="00420393"/>
              <w:p w14:paraId="4F93A2C6" w14:textId="30D7679D" w:rsidR="00952027" w:rsidRDefault="007C4BC1" w:rsidP="00420393">
                <w:sdt>
                  <w:sdtPr>
                    <w:id w:val="817004458"/>
                    <w:citation/>
                  </w:sdtPr>
                  <w:sdtEndPr/>
                  <w:sdtContent>
                    <w:r w:rsidR="001C4105">
                      <w:fldChar w:fldCharType="begin"/>
                    </w:r>
                    <w:r w:rsidR="00597A7D">
                      <w:rPr>
                        <w:lang w:val="en-US"/>
                      </w:rPr>
                      <w:instrText xml:space="preserve">CITATION Vaughan99 \l 1033 </w:instrText>
                    </w:r>
                    <w:r w:rsidR="001C4105">
                      <w:fldChar w:fldCharType="separate"/>
                    </w:r>
                    <w:r w:rsidR="00597A7D">
                      <w:rPr>
                        <w:noProof/>
                        <w:lang w:val="en-US"/>
                      </w:rPr>
                      <w:t>(Vaughan)</w:t>
                    </w:r>
                    <w:r w:rsidR="001C4105">
                      <w:fldChar w:fldCharType="end"/>
                    </w:r>
                  </w:sdtContent>
                </w:sdt>
              </w:p>
              <w:p w14:paraId="3D9256C7" w14:textId="77777777" w:rsidR="007C4BC1" w:rsidRDefault="007C4BC1" w:rsidP="00420393"/>
              <w:p w14:paraId="63D90AB7" w14:textId="1A7AE85C" w:rsidR="00952027" w:rsidRDefault="007C4BC1" w:rsidP="00420393">
                <w:sdt>
                  <w:sdtPr>
                    <w:id w:val="-1516683489"/>
                    <w:citation/>
                  </w:sdtPr>
                  <w:sdtEndPr/>
                  <w:sdtContent>
                    <w:r w:rsidR="00952027">
                      <w:fldChar w:fldCharType="begin"/>
                    </w:r>
                    <w:r w:rsidR="00597A7D">
                      <w:rPr>
                        <w:lang w:val="en-US"/>
                      </w:rPr>
                      <w:instrText xml:space="preserve">CITATION Vau991 \l 1033 </w:instrText>
                    </w:r>
                    <w:r w:rsidR="00952027">
                      <w:fldChar w:fldCharType="separate"/>
                    </w:r>
                    <w:r w:rsidR="00597A7D">
                      <w:rPr>
                        <w:noProof/>
                        <w:lang w:val="en-US"/>
                      </w:rPr>
                      <w:t>(Danceview: The Ashton Archive)</w:t>
                    </w:r>
                    <w:r w:rsidR="00952027">
                      <w:fldChar w:fldCharType="end"/>
                    </w:r>
                  </w:sdtContent>
                </w:sdt>
              </w:p>
              <w:p w14:paraId="0E9A49E7" w14:textId="77777777" w:rsidR="007C4BC1" w:rsidRDefault="007C4BC1" w:rsidP="00420393">
                <w:bookmarkStart w:id="0" w:name="_GoBack"/>
                <w:bookmarkEnd w:id="0"/>
              </w:p>
              <w:p w14:paraId="08EAB970" w14:textId="5E9C986A" w:rsidR="003235A7" w:rsidRDefault="007C4BC1" w:rsidP="00420393">
                <w:sdt>
                  <w:sdtPr>
                    <w:id w:val="-1205412829"/>
                    <w:citation/>
                  </w:sdtPr>
                  <w:sdtEndPr/>
                  <w:sdtContent>
                    <w:r w:rsidR="001C4105">
                      <w:fldChar w:fldCharType="begin"/>
                    </w:r>
                    <w:r w:rsidR="00597A7D">
                      <w:rPr>
                        <w:lang w:val="en-US"/>
                      </w:rPr>
                      <w:instrText xml:space="preserve">CITATION Wohlfahrt96 \l 1033 </w:instrText>
                    </w:r>
                    <w:r w:rsidR="001C4105">
                      <w:fldChar w:fldCharType="separate"/>
                    </w:r>
                    <w:r w:rsidR="00597A7D">
                      <w:rPr>
                        <w:noProof/>
                        <w:lang w:val="en-US"/>
                      </w:rPr>
                      <w:t>(Wohlfahrt)</w:t>
                    </w:r>
                    <w:r w:rsidR="001C4105">
                      <w:fldChar w:fldCharType="end"/>
                    </w:r>
                  </w:sdtContent>
                </w:sdt>
              </w:p>
            </w:sdtContent>
          </w:sdt>
        </w:tc>
      </w:tr>
    </w:tbl>
    <w:p w14:paraId="259E9A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65285" w14:textId="77777777" w:rsidR="00573DCB" w:rsidRDefault="00573DCB" w:rsidP="007A0D55">
      <w:pPr>
        <w:spacing w:after="0" w:line="240" w:lineRule="auto"/>
      </w:pPr>
      <w:r>
        <w:separator/>
      </w:r>
    </w:p>
  </w:endnote>
  <w:endnote w:type="continuationSeparator" w:id="0">
    <w:p w14:paraId="403B3877" w14:textId="77777777" w:rsidR="00573DCB" w:rsidRDefault="00573D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1E127" w14:textId="77777777" w:rsidR="00573DCB" w:rsidRDefault="00573DCB" w:rsidP="007A0D55">
      <w:pPr>
        <w:spacing w:after="0" w:line="240" w:lineRule="auto"/>
      </w:pPr>
      <w:r>
        <w:separator/>
      </w:r>
    </w:p>
  </w:footnote>
  <w:footnote w:type="continuationSeparator" w:id="0">
    <w:p w14:paraId="07B28415" w14:textId="77777777" w:rsidR="00573DCB" w:rsidRDefault="00573D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F21859" w:rsidRDefault="00F218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F21859" w:rsidRDefault="00F218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3EA9"/>
    <w:rsid w:val="000551B0"/>
    <w:rsid w:val="000A346B"/>
    <w:rsid w:val="000B25AE"/>
    <w:rsid w:val="000B55AB"/>
    <w:rsid w:val="000D24DC"/>
    <w:rsid w:val="000F1609"/>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2F4C68"/>
    <w:rsid w:val="0030662D"/>
    <w:rsid w:val="003235A7"/>
    <w:rsid w:val="003677B6"/>
    <w:rsid w:val="003D3579"/>
    <w:rsid w:val="003E2795"/>
    <w:rsid w:val="003F0D73"/>
    <w:rsid w:val="00412E7E"/>
    <w:rsid w:val="00420393"/>
    <w:rsid w:val="00462DBE"/>
    <w:rsid w:val="00464699"/>
    <w:rsid w:val="00483379"/>
    <w:rsid w:val="00487BC5"/>
    <w:rsid w:val="00496888"/>
    <w:rsid w:val="004A7476"/>
    <w:rsid w:val="004E5896"/>
    <w:rsid w:val="004E750D"/>
    <w:rsid w:val="004F01FA"/>
    <w:rsid w:val="00513EE6"/>
    <w:rsid w:val="00534F8F"/>
    <w:rsid w:val="00573DCB"/>
    <w:rsid w:val="00590035"/>
    <w:rsid w:val="00597A7D"/>
    <w:rsid w:val="005B177E"/>
    <w:rsid w:val="005B3921"/>
    <w:rsid w:val="005C3112"/>
    <w:rsid w:val="005D4C71"/>
    <w:rsid w:val="005F26D7"/>
    <w:rsid w:val="005F5450"/>
    <w:rsid w:val="006D0412"/>
    <w:rsid w:val="007411B9"/>
    <w:rsid w:val="007710EB"/>
    <w:rsid w:val="00780D95"/>
    <w:rsid w:val="00780DC7"/>
    <w:rsid w:val="007813B8"/>
    <w:rsid w:val="007A0D55"/>
    <w:rsid w:val="007B3377"/>
    <w:rsid w:val="007C4BC1"/>
    <w:rsid w:val="007E5F44"/>
    <w:rsid w:val="00821DE3"/>
    <w:rsid w:val="00846CE1"/>
    <w:rsid w:val="008A5B87"/>
    <w:rsid w:val="00922950"/>
    <w:rsid w:val="00952027"/>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82019"/>
    <w:rsid w:val="00CC586D"/>
    <w:rsid w:val="00CE150F"/>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218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AC3B08" w:rsidRDefault="00AC3B08">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AC3B08" w:rsidRDefault="00AC3B08">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AC3B08" w:rsidRDefault="00AC3B08">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AC3B08" w:rsidRDefault="00AC3B08">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AC3B08" w:rsidRDefault="00AC3B08">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AC3B08" w:rsidRDefault="00AC3B08">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AC3B08" w:rsidRDefault="00AC3B08">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AC3B08" w:rsidRDefault="00AC3B08">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AC3B08" w:rsidRDefault="00AC3B08">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AC3B08" w:rsidRDefault="00AC3B08">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AC3B08" w:rsidRDefault="00AC3B08">
          <w:pPr>
            <w:pStyle w:val="6CDD4637283E4540A557DE34C2AC5DDF"/>
          </w:pPr>
          <w:r>
            <w:rPr>
              <w:rStyle w:val="PlaceholderText"/>
            </w:rPr>
            <w:t>[Enter citations for further reading here]</w:t>
          </w:r>
        </w:p>
      </w:docPartBody>
    </w:docPart>
    <w:docPart>
      <w:docPartPr>
        <w:name w:val="A93B78CD0C78EE4DBA7731A762CF9AE5"/>
        <w:category>
          <w:name w:val="General"/>
          <w:gallery w:val="placeholder"/>
        </w:category>
        <w:types>
          <w:type w:val="bbPlcHdr"/>
        </w:types>
        <w:behaviors>
          <w:behavior w:val="content"/>
        </w:behaviors>
        <w:guid w:val="{EE921325-B5E4-4F49-92AF-4DEDECFA7DDC}"/>
      </w:docPartPr>
      <w:docPartBody>
        <w:p w:rsidR="00AC3B08" w:rsidRDefault="00AC3B08" w:rsidP="00AC3B08">
          <w:pPr>
            <w:pStyle w:val="A93B78CD0C78EE4DBA7731A762CF9A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8"/>
    <w:rsid w:val="0051426F"/>
    <w:rsid w:val="0083256B"/>
    <w:rsid w:val="00AC3B08"/>
    <w:rsid w:val="00F172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Dance96</b:Tag>
    <b:SourceType>Book</b:SourceType>
    <b:Guid>{3BA921ED-CA32-4238-9198-7B67EEFB193F}</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Medium>Print</b:Medium>
    <b:RefOrder>2</b:RefOrder>
  </b:Source>
  <b:Source>
    <b:Tag>Garafola11</b:Tag>
    <b:SourceType>JournalArticle</b:SourceType>
    <b:Guid>{21A0467C-3FE9-44F3-8BFE-DB13A4DE5777}</b:Guid>
    <b:Author>
      <b:Author>
        <b:NameList>
          <b:Person>
            <b:Last>Garafola</b:Last>
            <b:First>Lynn</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Medium>Article</b:Medium>
    <b:RefOrder>1</b:RefOrder>
  </b:Source>
  <b:Source>
    <b:Tag>Denby86</b:Tag>
    <b:SourceType>Book</b:SourceType>
    <b:Guid>{E01E7911-5706-4CF3-B020-25F4458600D2}</b:Guid>
    <b:Author>
      <b:Author>
        <b:NameList>
          <b:Person>
            <b:Last>Denby</b:Last>
            <b:First>Edwin</b:First>
          </b:Person>
        </b:NameList>
      </b:Author>
    </b:Author>
    <b:Title>Dance Writings</b:Title>
    <b:City>London</b:City>
    <b:Publisher>Dance Books</b:Publisher>
    <b:Year>1986</b:Year>
    <b:Medium>Print</b:Medium>
    <b:RefOrder>3</b:RefOrder>
  </b:Source>
  <b:Source>
    <b:Tag>Jordan07</b:Tag>
    <b:SourceType>Book</b:SourceType>
    <b:Guid>{45898C16-E618-4A39-BB3B-F5187CEBBD5D}</b:Guid>
    <b:Author>
      <b:Author>
        <b:NameList>
          <b:Person>
            <b:Last>Jordan</b:Last>
            <b:First>Stephanie</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Medium>Print</b:Medium>
    <b:RefOrder>4</b:RefOrder>
  </b:Source>
  <b:Source>
    <b:Tag>Kavanagh96</b:Tag>
    <b:SourceType>Book</b:SourceType>
    <b:Guid>{6FEC6F28-E76E-4DCB-B985-4D8442D0EA9D}</b:Guid>
    <b:Author>
      <b:Author>
        <b:NameList>
          <b:Person>
            <b:Last>Kavanagh</b:Last>
            <b:First>Julie</b:First>
          </b:Person>
        </b:NameList>
      </b:Author>
    </b:Author>
    <b:Title>Secret Muses: The Life of Frederick Ashton</b:Title>
    <b:City>London</b:City>
    <b:CountryRegion>UK</b:CountryRegion>
    <b:Publisher>Faber &amp; Faber</b:Publisher>
    <b:Year>1996</b:Year>
    <b:Comments>A thorough biography dealing mainly with Ashton’s private life.</b:Comments>
    <b:Medium>Print</b:Medium>
    <b:RefOrder>5</b:RefOrder>
  </b:Source>
  <b:Source>
    <b:Tag>Macaulay87</b:Tag>
    <b:SourceType>Book</b:SourceType>
    <b:Guid>{915DBC6A-BF88-445E-8FA2-65F115753272}</b:Guid>
    <b:Author>
      <b:Author>
        <b:NameList>
          <b:Person>
            <b:Last>Macaulay</b:Last>
            <b:First>Alastair</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Medium>Print</b:Medium>
    <b:RefOrder>6</b:RefOrder>
  </b:Source>
  <b:Source>
    <b:Tag>Morris12</b:Tag>
    <b:SourceType>Book</b:SourceType>
    <b:Guid>{FB404321-3D3F-4CC7-8AAB-B7A9D460FB7E}</b:Guid>
    <b:Author>
      <b:Author>
        <b:NameList>
          <b:Person>
            <b:Last>Morris</b:Last>
            <b:First>Geraldine</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Medium>Print</b:Medium>
    <b:RefOrder>7</b:RefOrder>
  </b:Source>
  <b:Source>
    <b:Tag>Vau991</b:Tag>
    <b:SourceType>InternetSite</b:SourceType>
    <b:Guid>{EE60060D-8654-4077-AFA7-40A4F56A5B64}</b:Guid>
    <b:InternetSiteTitle>Danceview: The Ashton Archive</b:InternetSiteTitle>
    <b:URL>http://www.danceview.org/archives/ashton/vaughan1.html</b:URL>
    <b:RefOrder>9</b:RefOrder>
  </b:Source>
  <b:Source>
    <b:Tag>Vaughan99</b:Tag>
    <b:SourceType>Book</b:SourceType>
    <b:Guid>{B1EF75FD-53ED-42D4-9950-0E5033B3B813}</b:Guid>
    <b:Author>
      <b:Author>
        <b:NameList>
          <b:Person>
            <b:Last>Vaughan</b:Last>
            <b:First>David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Medium>Print</b:Medium>
    <b:RefOrder>8</b:RefOrder>
  </b:Source>
  <b:Source>
    <b:Tag>Wohlfahrt96</b:Tag>
    <b:SourceType>JournalArticle</b:SourceType>
    <b:Guid>{651C9C37-519D-4C53-AD93-56BE4639E489}</b:Guid>
    <b:Author>
      <b:Author>
        <b:NameList>
          <b:Person>
            <b:Last>Wohlfahrt</b:Last>
            <b:First>Hans-Theodore</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Medium>Article</b:Medium>
    <b:RefOrder>10</b:RefOrder>
  </b:Source>
</b:Sources>
</file>

<file path=customXml/itemProps1.xml><?xml version="1.0" encoding="utf-8"?>
<ds:datastoreItem xmlns:ds="http://schemas.openxmlformats.org/officeDocument/2006/customXml" ds:itemID="{66927131-E3AF-FE49-80E3-78299817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2237</Words>
  <Characters>12755</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Juniper</dc:creator>
  <cp:lastModifiedBy>Laura Dosky</cp:lastModifiedBy>
  <cp:revision>4</cp:revision>
  <dcterms:created xsi:type="dcterms:W3CDTF">2015-08-30T06:07:00Z</dcterms:created>
  <dcterms:modified xsi:type="dcterms:W3CDTF">2015-09-22T00:48:00Z</dcterms:modified>
</cp:coreProperties>
</file>