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07F0E3" w14:textId="77777777" w:rsidTr="00922950">
        <w:tc>
          <w:tcPr>
            <w:tcW w:w="491" w:type="dxa"/>
            <w:vMerge w:val="restart"/>
            <w:shd w:val="clear" w:color="auto" w:fill="A6A6A6" w:themeFill="background1" w:themeFillShade="A6"/>
            <w:textDirection w:val="btLr"/>
          </w:tcPr>
          <w:p w14:paraId="6F34CA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73F51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327EAC8" w14:textId="77777777" w:rsidR="00B574C9" w:rsidRDefault="003B0B6B" w:rsidP="00922950">
                <w:r w:rsidRPr="003B0B6B">
                  <w:t>Amal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D66D7B8"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D6E7840" w14:textId="77777777" w:rsidR="00B574C9" w:rsidRDefault="003B0B6B" w:rsidP="00922950">
                <w:r>
                  <w:t>Mazhar</w:t>
                </w:r>
              </w:p>
            </w:tc>
          </w:sdtContent>
        </w:sdt>
      </w:tr>
      <w:tr w:rsidR="00B574C9" w14:paraId="701B2F8E" w14:textId="77777777" w:rsidTr="001A6A06">
        <w:trPr>
          <w:trHeight w:val="986"/>
        </w:trPr>
        <w:tc>
          <w:tcPr>
            <w:tcW w:w="491" w:type="dxa"/>
            <w:vMerge/>
            <w:shd w:val="clear" w:color="auto" w:fill="A6A6A6" w:themeFill="background1" w:themeFillShade="A6"/>
          </w:tcPr>
          <w:p w14:paraId="65B112C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552B103F" w14:textId="77777777" w:rsidR="00B574C9" w:rsidRDefault="00B574C9" w:rsidP="00922950">
                <w:r>
                  <w:rPr>
                    <w:rStyle w:val="PlaceholderText"/>
                  </w:rPr>
                  <w:t>[Enter your biography]</w:t>
                </w:r>
              </w:p>
            </w:tc>
          </w:sdtContent>
        </w:sdt>
      </w:tr>
      <w:tr w:rsidR="00B574C9" w14:paraId="07C3299B" w14:textId="77777777" w:rsidTr="001A6A06">
        <w:trPr>
          <w:trHeight w:val="986"/>
        </w:trPr>
        <w:tc>
          <w:tcPr>
            <w:tcW w:w="491" w:type="dxa"/>
            <w:vMerge/>
            <w:shd w:val="clear" w:color="auto" w:fill="A6A6A6" w:themeFill="background1" w:themeFillShade="A6"/>
          </w:tcPr>
          <w:p w14:paraId="5DFC3F4A"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114D885" w14:textId="77777777" w:rsidR="00B574C9" w:rsidRDefault="003B0B6B" w:rsidP="003B0B6B">
                <w:r>
                  <w:t>Cairo University</w:t>
                </w:r>
              </w:p>
            </w:tc>
          </w:sdtContent>
        </w:sdt>
      </w:tr>
    </w:tbl>
    <w:p w14:paraId="651FD72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5A6F59" w14:textId="77777777" w:rsidTr="00244BB0">
        <w:tc>
          <w:tcPr>
            <w:tcW w:w="9016" w:type="dxa"/>
            <w:shd w:val="clear" w:color="auto" w:fill="A6A6A6" w:themeFill="background1" w:themeFillShade="A6"/>
            <w:tcMar>
              <w:top w:w="113" w:type="dxa"/>
              <w:bottom w:w="113" w:type="dxa"/>
            </w:tcMar>
          </w:tcPr>
          <w:p w14:paraId="118CF3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2F0F33"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36E8D4A" w14:textId="77777777" w:rsidR="003F0D73" w:rsidRPr="00FB589A" w:rsidRDefault="003B0B6B" w:rsidP="003B0B6B">
                <w:pPr>
                  <w:rPr>
                    <w:b/>
                  </w:rPr>
                </w:pPr>
                <w:r w:rsidRPr="003B0B6B">
                  <w:t>Tawfiq al-Hakim (1898-1987</w:t>
                </w:r>
              </w:p>
            </w:tc>
          </w:sdtContent>
        </w:sdt>
      </w:tr>
      <w:tr w:rsidR="00464699" w14:paraId="785276D4"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F66DD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D4FD4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EA5AC70" w14:textId="77777777" w:rsidR="00E85A05" w:rsidRDefault="003B0B6B" w:rsidP="003B0B6B">
                <w:r w:rsidRPr="00A41AEE">
                  <w:t xml:space="preserve">Tawfiq al-Hakim (1898-1987) was an Egyptian playwright, short story writer, and novelist generally credited with giving birth to the theatre in Egypt. His fiction, in the form of several novels and short stories, is also widely canonized. Roger Allen called al-Hakim </w:t>
                </w:r>
                <w:r>
                  <w:t>‘</w:t>
                </w:r>
                <w:r w:rsidRPr="00A41AEE">
                  <w:t>one of the most significant figures in twentieth-century Arabic literature</w:t>
                </w:r>
                <w:r>
                  <w:t>’</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w:t>
                </w:r>
              </w:p>
            </w:tc>
          </w:sdtContent>
        </w:sdt>
      </w:tr>
      <w:tr w:rsidR="003F0D73" w14:paraId="6F9FABF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A04AC22" w14:textId="77777777" w:rsidR="003B0B6B" w:rsidRDefault="00CD2071" w:rsidP="003B0B6B">
                <w:sdt>
                  <w:sdtPr>
                    <w:alias w:val="Abstract"/>
                    <w:tag w:val="abstract"/>
                    <w:id w:val="1382365609"/>
                    <w:placeholder>
                      <w:docPart w:val="194190949E4C4B80BD0F45CC87944DD9"/>
                    </w:placeholder>
                  </w:sdtPr>
                  <w:sdtEndPr/>
                  <w:sdtContent>
                    <w:r w:rsidR="003B0B6B" w:rsidRPr="00A41AEE">
                      <w:t xml:space="preserve">Tawfiq al-Hakim (1898-1987) was an Egyptian playwright, short story writer, and novelist generally credited with giving birth to the theatre in Egypt. His fiction, in the form of several novels and short stories, is also widely canonized. Roger Allen called al-Hakim </w:t>
                    </w:r>
                    <w:r w:rsidR="003B0B6B">
                      <w:t>‘</w:t>
                    </w:r>
                    <w:r w:rsidR="003B0B6B" w:rsidRPr="00A41AEE">
                      <w:t>one of the most significant figures in twentieth-century Arabic literature</w:t>
                    </w:r>
                    <w:r w:rsidR="003B0B6B">
                      <w:t>’</w:t>
                    </w:r>
                    <w:r w:rsidR="003B0B6B"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w:t>
                    </w:r>
                  </w:sdtContent>
                </w:sdt>
              </w:p>
              <w:p w14:paraId="204C886B" w14:textId="77777777" w:rsidR="003B0B6B" w:rsidRDefault="003B0B6B" w:rsidP="003B0B6B"/>
              <w:p w14:paraId="331A3249" w14:textId="77777777" w:rsidR="003B0B6B" w:rsidRPr="00A41AEE" w:rsidRDefault="003B0B6B" w:rsidP="003B0B6B">
                <w:r w:rsidRPr="00A41AEE">
                  <w:t xml:space="preserve">Al-Hakim was born in Alexandria. His father, Isma’il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al-Arees</w:t>
                </w:r>
                <w:r w:rsidRPr="00A41AEE">
                  <w:t xml:space="preserve"> (</w:t>
                </w:r>
                <w:r>
                  <w:t>‘</w:t>
                </w:r>
                <w:r w:rsidRPr="00A41AEE">
                  <w:rPr>
                    <w:i/>
                  </w:rPr>
                  <w:t>The Bridegroom</w:t>
                </w:r>
                <w:r>
                  <w:t>’</w:t>
                </w:r>
                <w:r w:rsidRPr="00A41AEE">
                  <w:t xml:space="preserve"> (1924)) and </w:t>
                </w:r>
                <w:r w:rsidRPr="00A41AEE">
                  <w:rPr>
                    <w:i/>
                  </w:rPr>
                  <w:t>Khatim Sulayman</w:t>
                </w:r>
                <w:r w:rsidRPr="00A41AEE">
                  <w:t xml:space="preserve"> (</w:t>
                </w:r>
                <w:r>
                  <w:t>‘</w:t>
                </w:r>
                <w:r w:rsidRPr="00A41AEE">
                  <w:rPr>
                    <w:i/>
                  </w:rPr>
                  <w:t>The Ring of Solomon</w:t>
                </w:r>
                <w:r>
                  <w:t>’</w:t>
                </w:r>
                <w:r w:rsidRPr="00A41AEE">
                  <w:t xml:space="preserve"> (1924)), were published without his last name attached to them in order to avoid having his family name be associated with the theatre. </w:t>
                </w:r>
              </w:p>
              <w:p w14:paraId="0F07E3F4" w14:textId="77777777" w:rsidR="003B0B6B" w:rsidRPr="00A41AEE" w:rsidRDefault="003B0B6B" w:rsidP="003B0B6B"/>
              <w:p w14:paraId="3CC0BB6B" w14:textId="77777777" w:rsidR="003B0B6B" w:rsidRPr="00A41AEE" w:rsidRDefault="003B0B6B" w:rsidP="003B0B6B">
                <w:r w:rsidRPr="00A41AEE">
                  <w:t xml:space="preserve">Following his studies in Cairo, his father sent al-Hakim to Paris in 1925 in order for him to further advance his legal studies, with the goal of obtaining a doctorate at the Sorbonne. Instead of 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w:t>
                </w:r>
                <w:r w:rsidRPr="00A41AEE">
                  <w:lastRenderedPageBreak/>
                  <w:t>then in the more rural towns of Desouk and Damanhur. After 1934, al-Hakim left the practice of law for a career as a writer.</w:t>
                </w:r>
              </w:p>
              <w:p w14:paraId="48E2BF0E" w14:textId="77777777" w:rsidR="003B0B6B" w:rsidRPr="00A41AEE" w:rsidRDefault="003B0B6B" w:rsidP="003B0B6B"/>
              <w:p w14:paraId="3DC844FE" w14:textId="77777777" w:rsidR="003B0B6B" w:rsidRPr="00A41AEE" w:rsidRDefault="003B0B6B" w:rsidP="003B0B6B">
                <w:r w:rsidRPr="00A41AEE">
                  <w:t xml:space="preserve">The experiences al-Hakim had while a prosecutor inspired his novel </w:t>
                </w:r>
                <w:r w:rsidRPr="00A41AEE">
                  <w:rPr>
                    <w:i/>
                  </w:rPr>
                  <w:t>Tawmiyat na’ib fil aryaf</w:t>
                </w:r>
                <w:r w:rsidRPr="00A41AEE">
                  <w:t xml:space="preserve"> (</w:t>
                </w:r>
                <w:r>
                  <w:t>‘</w:t>
                </w:r>
                <w:r w:rsidRPr="00A41AEE">
                  <w:rPr>
                    <w:i/>
                  </w:rPr>
                  <w:t>Diary of a Country Prosecutor</w:t>
                </w:r>
                <w:r>
                  <w:t>’</w:t>
                </w:r>
                <w:r w:rsidRPr="00A41AEE">
                  <w:t xml:space="preserve"> (aka </w:t>
                </w:r>
                <w:r>
                  <w:t>‘</w:t>
                </w:r>
                <w:r w:rsidRPr="00A41AEE">
                  <w:rPr>
                    <w:i/>
                  </w:rPr>
                  <w:t>Maze of Justice</w:t>
                </w:r>
                <w:r w:rsidRPr="00A41AEE">
                  <w:t>,</w:t>
                </w:r>
                <w:r>
                  <w:t>’</w:t>
                </w:r>
                <w:r w:rsidRPr="00A41AEE">
                  <w:t xml:space="preserve"> 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14:paraId="470B93FF" w14:textId="77777777" w:rsidR="003B0B6B" w:rsidRPr="00A41AEE" w:rsidRDefault="003B0B6B" w:rsidP="003B0B6B"/>
              <w:p w14:paraId="223981AB" w14:textId="77777777" w:rsidR="003B0B6B" w:rsidRPr="00A41AEE" w:rsidRDefault="003B0B6B" w:rsidP="003B0B6B">
                <w:r w:rsidRPr="00A41AEE">
                  <w:t xml:space="preserve">The divide between rulers and those they rule, class difference, and the larger crisis of humanity in general of bring unable to connect with each other or with themselves would be a major theme throughout al-Hakim’s works. His early, and perhaps most well known play, </w:t>
                </w:r>
                <w:r w:rsidRPr="00A41AEE">
                  <w:rPr>
                    <w:i/>
                  </w:rPr>
                  <w:t>Ahl al-kahf</w:t>
                </w:r>
                <w:r w:rsidRPr="00A41AEE">
                  <w:t xml:space="preserve">  (</w:t>
                </w:r>
                <w:r>
                  <w:t>‘</w:t>
                </w:r>
                <w:r w:rsidRPr="00A41AEE">
                  <w:rPr>
                    <w:i/>
                  </w:rPr>
                  <w:t>The People of the Cave</w:t>
                </w:r>
                <w:r>
                  <w:t>’</w:t>
                </w:r>
                <w:r w:rsidRPr="00A41AEE">
                  <w:t xml:space="preserve">) (1933), also highlights al-Hakim’s concern with communication. This play, based on Surrah 18 of </w:t>
                </w:r>
                <w:r w:rsidRPr="00A41AEE">
                  <w:rPr>
                    <w:i/>
                  </w:rPr>
                  <w:t>The Quran</w:t>
                </w:r>
                <w:r w:rsidRPr="00A41AEE">
                  <w:t xml:space="preserve">, which is itself based on the Christian legend of the </w:t>
                </w:r>
                <w:r w:rsidRPr="00A41AEE">
                  <w:rPr>
                    <w:i/>
                  </w:rPr>
                  <w:t>Seven Sleepers of Ephesus</w:t>
                </w:r>
                <w:r w:rsidRPr="00A41AEE">
                  <w:t>, also helped usher in the age of modern drama in Egypt.</w:t>
                </w:r>
              </w:p>
              <w:p w14:paraId="13304368" w14:textId="77777777" w:rsidR="003B0B6B" w:rsidRPr="00A41AEE" w:rsidRDefault="003B0B6B" w:rsidP="003B0B6B"/>
              <w:p w14:paraId="3D96AECB" w14:textId="77777777" w:rsidR="003B0B6B" w:rsidRPr="00A41AEE" w:rsidRDefault="003B0B6B" w:rsidP="003B0B6B">
                <w:r w:rsidRPr="00A41AEE">
                  <w:t xml:space="preserve">Theatre in Egypt was in its beginning stages in the 1920s when al-Hakim began to integrate himself into the scene. Although several important dramatists, such as Ibraham Ramzi, Mohammed Taymur, Antun Yazbak and poet-turned-dramatist Ahmad Sharqi had been and were writing and presenting their work in Egypt since the 1850s, it wasn’t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Zaki Tulaymat. </w:t>
                </w:r>
                <w:r w:rsidRPr="00A41AEE">
                  <w:rPr>
                    <w:i/>
                  </w:rPr>
                  <w:t>The People of the Cave</w:t>
                </w:r>
                <w:r w:rsidRPr="00A41AEE">
                  <w:t xml:space="preserve"> brought to Egypt a philosophically serious theme, garnered widespread critical acclaim by important literary figures such as Taha Hussein, and helped continue to open the doors to a more intellectual and artistically complex appreciation of the stage. It was the first play performed by the newly formed National Theatre Troupe in 1935.</w:t>
                </w:r>
              </w:p>
              <w:p w14:paraId="58BC7C8F" w14:textId="77777777" w:rsidR="003B0B6B" w:rsidRPr="00A41AEE" w:rsidRDefault="003B0B6B" w:rsidP="003B0B6B"/>
              <w:p w14:paraId="5203597B" w14:textId="77777777" w:rsidR="003B0B6B" w:rsidRPr="00A41AEE" w:rsidRDefault="003B0B6B" w:rsidP="003B0B6B">
                <w:r w:rsidRPr="00A41AEE">
                  <w:rPr>
                    <w:i/>
                  </w:rPr>
                  <w:t>The People of the Cave</w:t>
                </w:r>
                <w:r w:rsidRPr="00A41AEE">
                  <w:t xml:space="preserve"> features three men:  two courtiers (Mishilinya and Marnush) and a shepherd (Yamlikha), and the shepherd’s dog. The men hide in a cave to escape persecution for being Christians during the late Roman Empire. They fall asleep for three hundred years and awake to find that Christianity has become the dominant religion. One of the courtiers (Mishilinya)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14:paraId="658CB439" w14:textId="77777777" w:rsidR="003B0B6B" w:rsidRPr="00A41AEE" w:rsidRDefault="003B0B6B" w:rsidP="003B0B6B"/>
              <w:p w14:paraId="61EAE82A" w14:textId="77777777" w:rsidR="003B0B6B" w:rsidRPr="00A41AEE" w:rsidRDefault="003B0B6B" w:rsidP="003B0B6B">
                <w:r w:rsidRPr="00A41AEE">
                  <w:t xml:space="preserve">Al-Hakim’s play </w:t>
                </w:r>
                <w:r w:rsidRPr="00A41AEE">
                  <w:rPr>
                    <w:i/>
                  </w:rPr>
                  <w:t>Shahrazad</w:t>
                </w:r>
                <w:r w:rsidRPr="00A41AEE">
                  <w:t xml:space="preserve"> (1944) is also considered one of his canonical works. Al-Hakim drew </w:t>
                </w:r>
                <w:r w:rsidRPr="00A41AEE">
                  <w:lastRenderedPageBreak/>
                  <w:t xml:space="preserve">upon motifs from </w:t>
                </w:r>
                <w:r w:rsidRPr="00A41AEE">
                  <w:rPr>
                    <w:i/>
                  </w:rPr>
                  <w:t>The 1001 Nights</w:t>
                </w:r>
                <w:r w:rsidRPr="00A41AEE">
                  <w:t xml:space="preserve"> often in his works, including his other plays </w:t>
                </w:r>
                <w:r w:rsidRPr="00A41AEE">
                  <w:rPr>
                    <w:i/>
                  </w:rPr>
                  <w:t>Ali Baba</w:t>
                </w:r>
                <w:r w:rsidRPr="00A41AEE">
                  <w:t xml:space="preserve"> (1926), </w:t>
                </w:r>
                <w:r w:rsidRPr="00A41AEE">
                  <w:rPr>
                    <w:i/>
                  </w:rPr>
                  <w:t xml:space="preserve">Sulayman al-hakim </w:t>
                </w:r>
                <w:r w:rsidRPr="00A41AEE">
                  <w:t>(</w:t>
                </w:r>
                <w:r>
                  <w:t>‘</w:t>
                </w:r>
                <w:r w:rsidRPr="00523B29">
                  <w:t>The</w:t>
                </w:r>
                <w:r w:rsidRPr="00A41AEE">
                  <w:rPr>
                    <w:i/>
                  </w:rPr>
                  <w:t xml:space="preserve"> Wisdom of Solomon</w:t>
                </w:r>
                <w:r>
                  <w:t>’</w:t>
                </w:r>
                <w:r w:rsidRPr="00A41AEE">
                  <w:t>)</w:t>
                </w:r>
                <w:r w:rsidRPr="00297657">
                  <w:rPr>
                    <w:i/>
                  </w:rPr>
                  <w:t xml:space="preserve"> </w:t>
                </w:r>
                <w:r w:rsidRPr="00297657">
                  <w:t>(1943)</w:t>
                </w:r>
                <w:r w:rsidRPr="00A41AEE">
                  <w:t xml:space="preserve"> and </w:t>
                </w:r>
                <w:r w:rsidRPr="00A41AEE">
                  <w:rPr>
                    <w:i/>
                  </w:rPr>
                  <w:t>Shams al-Nahar</w:t>
                </w:r>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14:paraId="0BD97DF6" w14:textId="77777777" w:rsidR="003B0B6B" w:rsidRPr="00A41AEE" w:rsidRDefault="003B0B6B" w:rsidP="003B0B6B"/>
              <w:p w14:paraId="31C1ECA8" w14:textId="77777777" w:rsidR="003B0B6B" w:rsidRPr="00A41AEE" w:rsidRDefault="003B0B6B" w:rsidP="003B0B6B">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Qamar,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14:paraId="77A0BBE6" w14:textId="77777777" w:rsidR="003B0B6B" w:rsidRPr="00A41AEE" w:rsidRDefault="003B0B6B" w:rsidP="003B0B6B"/>
              <w:p w14:paraId="6C5562B5" w14:textId="77777777" w:rsidR="003B0B6B" w:rsidRPr="00A41AEE" w:rsidRDefault="003B0B6B" w:rsidP="003B0B6B">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r w:rsidRPr="00A41AEE">
                  <w:rPr>
                    <w:i/>
                  </w:rPr>
                  <w:t xml:space="preserve">Praxa au mulkilat al-hukm </w:t>
                </w:r>
                <w:r w:rsidRPr="00A41AEE">
                  <w:t>(</w:t>
                </w:r>
                <w:r>
                  <w:t>‘</w:t>
                </w:r>
                <w:r w:rsidRPr="00A41AEE">
                  <w:rPr>
                    <w:i/>
                  </w:rPr>
                  <w:t>Praxa: or How to Govern</w:t>
                </w:r>
                <w:r>
                  <w:t>’</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Praxa,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r w:rsidRPr="00A41AEE">
                  <w:rPr>
                    <w:i/>
                  </w:rPr>
                  <w:t>Praxa</w:t>
                </w:r>
                <w:r w:rsidRPr="00A41AEE">
                  <w:t xml:space="preserve"> about how the officer then became a dictator who purges the country of intellectuals and artists.</w:t>
                </w:r>
              </w:p>
              <w:p w14:paraId="22B8B936" w14:textId="77777777" w:rsidR="003B0B6B" w:rsidRPr="00A41AEE" w:rsidRDefault="003B0B6B" w:rsidP="003B0B6B"/>
              <w:p w14:paraId="23A5FF0C" w14:textId="77777777" w:rsidR="003B0B6B" w:rsidRPr="00A41AEE" w:rsidRDefault="003B0B6B" w:rsidP="003B0B6B">
                <w:r w:rsidRPr="00A41AEE">
                  <w:t xml:space="preserve">Al-Hakim’s treatment of women in his plays has had some notably critical responses but contemporary feminist scholarship is reevaluating these charges in more complex ways. </w:t>
                </w:r>
                <w:r w:rsidRPr="00A41AEE">
                  <w:rPr>
                    <w:i/>
                  </w:rPr>
                  <w:t>Praxa</w:t>
                </w:r>
                <w:r w:rsidRPr="00A41AEE">
                  <w:t xml:space="preserve"> is an example of such a play, one with a weak female character who is unable to govern or take charge in any effective manner. His early play </w:t>
                </w:r>
                <w:r w:rsidRPr="00A41AEE">
                  <w:rPr>
                    <w:i/>
                  </w:rPr>
                  <w:t xml:space="preserve">al-Mar’a al-Jadida </w:t>
                </w:r>
                <w:r w:rsidRPr="00A41AEE">
                  <w:t>(</w:t>
                </w:r>
                <w:r>
                  <w:t>‘</w:t>
                </w:r>
                <w:r w:rsidRPr="00A41AEE">
                  <w:rPr>
                    <w:i/>
                  </w:rPr>
                  <w:t>The New Woman</w:t>
                </w:r>
                <w:r>
                  <w:t>’</w:t>
                </w:r>
                <w:r w:rsidRPr="00A41AEE">
                  <w:t xml:space="preserve">) (1923) has also often been pointed to as an example of al-Hakim’s problematic rendering of women in his work. Layla, the daughter of the main character of the play, is portrayed as a cheating, money-obsessed female figure that uses her modern </w:t>
                </w:r>
                <w:r>
                  <w:t>‘</w:t>
                </w:r>
                <w:r w:rsidRPr="00A41AEE">
                  <w:t>liberated</w:t>
                </w:r>
                <w:r>
                  <w:t>’</w:t>
                </w:r>
                <w:r w:rsidRPr="00A41AEE">
                  <w:t xml:space="preserve"> status in the play in a negative fashion, even becoming the lover of one of her father’s friends. Later plays, such as </w:t>
                </w:r>
                <w:r w:rsidRPr="00A41AEE">
                  <w:rPr>
                    <w:i/>
                  </w:rPr>
                  <w:t xml:space="preserve">al-Ayda al-na’ima </w:t>
                </w:r>
                <w:r w:rsidRPr="00A41AEE">
                  <w:t>(</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r w:rsidRPr="00A41AEE">
                  <w:rPr>
                    <w:i/>
                  </w:rPr>
                  <w:t xml:space="preserve">Masir sorsar </w:t>
                </w:r>
                <w:r w:rsidRPr="00A41AEE">
                  <w:t>(</w:t>
                </w:r>
                <w:r>
                  <w:t>‘</w:t>
                </w:r>
                <w:r w:rsidRPr="00A41AEE">
                  <w:rPr>
                    <w:i/>
                  </w:rPr>
                  <w:t>The Fate of a Cockroach</w:t>
                </w:r>
                <w:r>
                  <w:t>’</w:t>
                </w:r>
                <w:r w:rsidRPr="00A41AEE">
                  <w:t xml:space="preserve"> (1966)) the female characters are also portrayed as being not only the equals of their male counterparts, but in many instance their superiors as well.</w:t>
                </w:r>
              </w:p>
              <w:p w14:paraId="32362C34" w14:textId="77777777" w:rsidR="003B0B6B" w:rsidRPr="00A41AEE" w:rsidRDefault="003B0B6B" w:rsidP="003B0B6B"/>
              <w:p w14:paraId="634A8D3F" w14:textId="77777777" w:rsidR="003B0B6B" w:rsidRPr="00A41AEE" w:rsidRDefault="003B0B6B" w:rsidP="003B0B6B">
                <w:r w:rsidRPr="00A41AEE">
                  <w:t xml:space="preserve">Although he received widespread critical acclaim and helped open the doors to the development of the Egyptian theatre in earnest, Tawfiq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w:t>
                </w:r>
                <w:r w:rsidRPr="00A41AEE">
                  <w:lastRenderedPageBreak/>
                  <w:t xml:space="preserve">and the intellect was always present throughout his works. His play </w:t>
                </w:r>
                <w:r w:rsidRPr="00A41AEE">
                  <w:rPr>
                    <w:i/>
                  </w:rPr>
                  <w:t xml:space="preserve">al-Safqah </w:t>
                </w:r>
                <w:r w:rsidRPr="00A41AEE">
                  <w:t>(</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humor, and satire are incorporated into the text, and it was more popularly received than al-Hakim’s other, more experimental and complex works.</w:t>
                </w:r>
              </w:p>
              <w:p w14:paraId="3E19993B" w14:textId="77777777" w:rsidR="003B0B6B" w:rsidRPr="00A41AEE" w:rsidRDefault="003B0B6B" w:rsidP="003B0B6B"/>
              <w:p w14:paraId="7718431F" w14:textId="77777777" w:rsidR="003B0B6B" w:rsidRDefault="003B0B6B" w:rsidP="003B0B6B">
                <w:r w:rsidRPr="00A41AEE">
                  <w:t xml:space="preserve">Tawfiq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udib </w:t>
                </w:r>
                <w:r w:rsidRPr="00A41AEE">
                  <w:t>(</w:t>
                </w:r>
                <w:r>
                  <w:t>‘</w:t>
                </w:r>
                <w:r w:rsidRPr="00A41AEE">
                  <w:rPr>
                    <w:i/>
                  </w:rPr>
                  <w:t>King Oedipus</w:t>
                </w:r>
                <w:r>
                  <w:t>’</w:t>
                </w:r>
                <w:r w:rsidRPr="00A41AEE">
                  <w:t xml:space="preserve"> (1949)), his critique of poor government in </w:t>
                </w:r>
                <w:r w:rsidRPr="00A41AEE">
                  <w:rPr>
                    <w:i/>
                  </w:rPr>
                  <w:t>al-Ayda al-na’ima</w:t>
                </w:r>
                <w:r w:rsidRPr="00A41AEE">
                  <w:t xml:space="preserve"> (</w:t>
                </w:r>
                <w:r>
                  <w:t>‘</w:t>
                </w:r>
                <w:r w:rsidRPr="00A41AEE">
                  <w:rPr>
                    <w:i/>
                  </w:rPr>
                  <w:t>Soft Hands</w:t>
                </w:r>
                <w:r>
                  <w:t>’</w:t>
                </w:r>
                <w:r w:rsidRPr="00A41AEE">
                  <w:t xml:space="preserve"> (1954)</w:t>
                </w:r>
                <w:r>
                  <w:t>’</w:t>
                </w:r>
                <w:r w:rsidRPr="00A41AEE">
                  <w:t xml:space="preserve"> and </w:t>
                </w:r>
                <w:r w:rsidRPr="00A41AEE">
                  <w:rPr>
                    <w:i/>
                  </w:rPr>
                  <w:t>al-Sultan al-ha’ir</w:t>
                </w:r>
                <w:r w:rsidRPr="00A41AEE">
                  <w:t xml:space="preserve"> (</w:t>
                </w:r>
                <w:r>
                  <w:t>‘</w:t>
                </w:r>
                <w:r w:rsidRPr="00A41AEE">
                  <w:rPr>
                    <w:i/>
                  </w:rPr>
                  <w:t>The Sultan’s Dilemma</w:t>
                </w:r>
                <w:r>
                  <w:t>’</w:t>
                </w:r>
                <w:r w:rsidRPr="00A41AEE">
                  <w:t xml:space="preserve"> (1960)), and his absurdist-inspired </w:t>
                </w:r>
                <w:r w:rsidRPr="00A41AEE">
                  <w:rPr>
                    <w:i/>
                  </w:rPr>
                  <w:t xml:space="preserve">Ya tali al-shajarah </w:t>
                </w:r>
                <w:r w:rsidRPr="00A41AEE">
                  <w:t>(</w:t>
                </w:r>
                <w:r>
                  <w:t>‘</w:t>
                </w:r>
                <w:r w:rsidRPr="00A41AEE">
                  <w:rPr>
                    <w:i/>
                  </w:rPr>
                  <w:t>The Tree Climber</w:t>
                </w:r>
                <w:r>
                  <w:t>’</w:t>
                </w:r>
                <w:r w:rsidRPr="00A41AEE">
                  <w:t xml:space="preserve"> (1962)). Representative collections of his short stories include </w:t>
                </w:r>
                <w:r w:rsidRPr="00A41AEE">
                  <w:rPr>
                    <w:i/>
                  </w:rPr>
                  <w:t>Ahd al-shaytan</w:t>
                </w:r>
                <w:r w:rsidRPr="00A41AEE">
                  <w:t xml:space="preserve"> (</w:t>
                </w:r>
                <w:r>
                  <w:t>‘</w:t>
                </w:r>
                <w:r w:rsidRPr="00A41AEE">
                  <w:rPr>
                    <w:i/>
                  </w:rPr>
                  <w:t>Pact with Satan</w:t>
                </w:r>
                <w:r>
                  <w:t>’</w:t>
                </w:r>
                <w:r w:rsidRPr="00A41AEE">
                  <w:t xml:space="preserve"> (1938)), </w:t>
                </w:r>
                <w:r w:rsidRPr="00A41AEE">
                  <w:rPr>
                    <w:i/>
                  </w:rPr>
                  <w:t xml:space="preserve">Arni Allah </w:t>
                </w:r>
                <w:r w:rsidRPr="00A41AEE">
                  <w:t>(</w:t>
                </w:r>
                <w:r>
                  <w:t>‘</w:t>
                </w:r>
                <w:r w:rsidRPr="00A41AEE">
                  <w:rPr>
                    <w:i/>
                  </w:rPr>
                  <w:t>Show me God</w:t>
                </w:r>
                <w:r>
                  <w:t>’</w:t>
                </w:r>
                <w:r w:rsidRPr="00A41AEE">
                  <w:t xml:space="preserve"> (1953)), and </w:t>
                </w:r>
                <w:r w:rsidRPr="00A41AEE">
                  <w:rPr>
                    <w:i/>
                  </w:rPr>
                  <w:t xml:space="preserve">Lailat al-zifaf </w:t>
                </w:r>
                <w:r w:rsidRPr="00A41AEE">
                  <w:t>(</w:t>
                </w:r>
                <w:r>
                  <w:t>‘</w:t>
                </w:r>
                <w:r w:rsidRPr="00A41AEE">
                  <w:rPr>
                    <w:i/>
                  </w:rPr>
                  <w:t>Wedding Night</w:t>
                </w:r>
                <w:r>
                  <w:t>’</w:t>
                </w:r>
                <w:r w:rsidRPr="00A41AEE">
                  <w:rPr>
                    <w:i/>
                  </w:rPr>
                  <w:t xml:space="preserve"> </w:t>
                </w:r>
                <w:r w:rsidRPr="00A41AEE">
                  <w:t xml:space="preserve">(1966)). His other novels and semi-nonfictional writings such as the autobiographical </w:t>
                </w:r>
                <w:r w:rsidRPr="00A41AEE">
                  <w:rPr>
                    <w:i/>
                  </w:rPr>
                  <w:t xml:space="preserve">Sijil al-a’mar </w:t>
                </w:r>
                <w:r w:rsidRPr="00A41AEE">
                  <w:t>(</w:t>
                </w:r>
                <w:r>
                  <w:t>‘</w:t>
                </w:r>
                <w:r w:rsidRPr="00A41AEE">
                  <w:rPr>
                    <w:i/>
                  </w:rPr>
                  <w:t>Prison of Life</w:t>
                </w:r>
                <w:r>
                  <w:t>’</w:t>
                </w:r>
                <w:r w:rsidRPr="00A41AEE">
                  <w:t xml:space="preserve"> (1964)) and </w:t>
                </w:r>
                <w:r w:rsidRPr="00A41AEE">
                  <w:rPr>
                    <w:i/>
                  </w:rPr>
                  <w:t>Usfur min al-sharq</w:t>
                </w:r>
                <w:r w:rsidRPr="00A41AEE">
                  <w:t xml:space="preserve"> (</w:t>
                </w:r>
                <w:r>
                  <w:t>‘</w:t>
                </w:r>
                <w:r w:rsidRPr="00A41AEE">
                  <w:rPr>
                    <w:i/>
                  </w:rPr>
                  <w:t>A Sparrow from the East</w:t>
                </w:r>
                <w: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14:paraId="78D40288" w14:textId="77777777" w:rsidR="003B0B6B" w:rsidRDefault="003B0B6B" w:rsidP="003B0B6B"/>
              <w:p w14:paraId="7872086C" w14:textId="77777777" w:rsidR="003B0B6B" w:rsidRDefault="003B0B6B" w:rsidP="003B0B6B">
                <w:pPr>
                  <w:rPr>
                    <w:rStyle w:val="Heading1Char"/>
                  </w:rPr>
                </w:pPr>
                <w:r w:rsidRPr="003B0B6B">
                  <w:rPr>
                    <w:rStyle w:val="Heading1Char"/>
                  </w:rPr>
                  <w:t>List of Works</w:t>
                </w:r>
              </w:p>
              <w:p w14:paraId="49BA2287" w14:textId="77777777" w:rsidR="003B0B6B" w:rsidRDefault="003B0B6B" w:rsidP="003B0B6B">
                <w:pPr>
                  <w:rPr>
                    <w:rStyle w:val="Heading1Char"/>
                  </w:rPr>
                </w:pPr>
              </w:p>
              <w:p w14:paraId="04CB624C" w14:textId="77777777" w:rsidR="003B0B6B" w:rsidRPr="00523B29" w:rsidRDefault="003B0B6B" w:rsidP="003B0B6B">
                <w:r w:rsidRPr="00523B29">
                  <w:rPr>
                    <w:i/>
                  </w:rPr>
                  <w:t>The Essential Tawfiq al-Hakim</w:t>
                </w:r>
                <w:r w:rsidRPr="00523B29">
                  <w:t xml:space="preserve"> (2008), edited by Denys Johnson-Davies, Cairo: The American University in Cairo Press.</w:t>
                </w:r>
              </w:p>
              <w:p w14:paraId="0986BB81" w14:textId="77777777" w:rsidR="003B0B6B" w:rsidRPr="00523B29" w:rsidRDefault="003B0B6B" w:rsidP="003B0B6B">
                <w:r w:rsidRPr="00523B29">
                  <w:rPr>
                    <w:i/>
                  </w:rPr>
                  <w:t>Plays, Prefaces and Postscripts of Tawfiq al-Hakim</w:t>
                </w:r>
                <w:r w:rsidRPr="00523B29">
                  <w:t xml:space="preserve"> (1981-3), translated by W.M. Hutchins, 2 vols., Washington DC, Three Continents Press.</w:t>
                </w:r>
              </w:p>
              <w:p w14:paraId="10D3F8B1" w14:textId="77777777" w:rsidR="003B0B6B" w:rsidRPr="00523B29" w:rsidRDefault="003B0B6B" w:rsidP="003B0B6B">
                <w:r w:rsidRPr="00523B29">
                  <w:rPr>
                    <w:i/>
                  </w:rPr>
                  <w:t>Diary of a Country Prosecutor</w:t>
                </w:r>
                <w:r w:rsidRPr="00523B29">
                  <w:t xml:space="preserve"> (2007), translated by Abba Eban, London, Saqi Books.</w:t>
                </w:r>
              </w:p>
              <w:p w14:paraId="2EF853F3" w14:textId="77777777" w:rsidR="003B0B6B" w:rsidRPr="00523B29" w:rsidRDefault="003B0B6B" w:rsidP="003B0B6B">
                <w:r w:rsidRPr="00523B29">
                  <w:rPr>
                    <w:i/>
                  </w:rPr>
                  <w:t>Fate of a Cockroach and other Plays</w:t>
                </w:r>
                <w:r w:rsidRPr="00523B29">
                  <w:t xml:space="preserve"> (1973), translated by Denys Johnson-Davies, London, Cox &amp; Wyman Ltd.</w:t>
                </w:r>
              </w:p>
              <w:p w14:paraId="07B96D38" w14:textId="77777777" w:rsidR="003F0D73" w:rsidRPr="003B0B6B" w:rsidRDefault="003B0B6B" w:rsidP="003B0B6B">
                <w:r w:rsidRPr="00523B29">
                  <w:rPr>
                    <w:i/>
                  </w:rPr>
                  <w:t>The Tree Climber</w:t>
                </w:r>
                <w:r w:rsidRPr="00523B29">
                  <w:t xml:space="preserve"> (1966), translated by Denys Johnson-Davies, Oxford, Oxford University Press.</w:t>
                </w:r>
              </w:p>
            </w:tc>
          </w:sdtContent>
        </w:sdt>
      </w:tr>
      <w:tr w:rsidR="003235A7" w14:paraId="0E0B9748" w14:textId="77777777" w:rsidTr="003235A7">
        <w:tc>
          <w:tcPr>
            <w:tcW w:w="9016" w:type="dxa"/>
          </w:tcPr>
          <w:p w14:paraId="5B94625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668E88F0" w14:textId="5C6E8E6A" w:rsidR="003B0B6B" w:rsidRDefault="00CD2071" w:rsidP="003B0B6B">
                <w:sdt>
                  <w:sdtPr>
                    <w:id w:val="-1835298684"/>
                    <w:citation/>
                  </w:sdtPr>
                  <w:sdtEndPr/>
                  <w:sdtContent>
                    <w:r w:rsidR="003B0B6B">
                      <w:fldChar w:fldCharType="begin"/>
                    </w:r>
                    <w:r w:rsidR="0061032D">
                      <w:rPr>
                        <w:i/>
                        <w:lang w:val="en-CA"/>
                      </w:rPr>
                      <w:instrText xml:space="preserve">CITATION Hutchins98 \l 4105 </w:instrText>
                    </w:r>
                    <w:r w:rsidR="003B0B6B">
                      <w:fldChar w:fldCharType="separate"/>
                    </w:r>
                    <w:r w:rsidR="0061032D">
                      <w:rPr>
                        <w:i/>
                        <w:noProof/>
                        <w:lang w:val="en-CA"/>
                      </w:rPr>
                      <w:t xml:space="preserve"> </w:t>
                    </w:r>
                    <w:r w:rsidR="0061032D">
                      <w:rPr>
                        <w:noProof/>
                        <w:lang w:val="en-CA"/>
                      </w:rPr>
                      <w:t>(Hutchins)</w:t>
                    </w:r>
                    <w:r w:rsidR="003B0B6B">
                      <w:fldChar w:fldCharType="end"/>
                    </w:r>
                  </w:sdtContent>
                </w:sdt>
              </w:p>
              <w:p w14:paraId="05284265" w14:textId="77777777" w:rsidR="00F9140B" w:rsidRDefault="00F9140B" w:rsidP="00F9140B"/>
              <w:p w14:paraId="7487E30C" w14:textId="77777777" w:rsidR="00F9140B" w:rsidRDefault="00F9140B" w:rsidP="00F9140B">
                <w:r w:rsidRPr="00523B29">
                  <w:t xml:space="preserve"> </w:t>
                </w:r>
                <w:sdt>
                  <w:sdtPr>
                    <w:id w:val="1911728276"/>
                    <w:citation/>
                  </w:sdtPr>
                  <w:sdtEndPr/>
                  <w:sdtContent>
                    <w:r>
                      <w:fldChar w:fldCharType="begin"/>
                    </w:r>
                    <w:r>
                      <w:rPr>
                        <w:lang w:val="en-CA"/>
                      </w:rPr>
                      <w:instrText xml:space="preserve"> CITATION Long79 \l 4105 </w:instrText>
                    </w:r>
                    <w:r>
                      <w:fldChar w:fldCharType="separate"/>
                    </w:r>
                    <w:r w:rsidRPr="00F9140B">
                      <w:rPr>
                        <w:noProof/>
                        <w:lang w:val="en-CA"/>
                      </w:rPr>
                      <w:t>(Long)</w:t>
                    </w:r>
                    <w:r>
                      <w:fldChar w:fldCharType="end"/>
                    </w:r>
                  </w:sdtContent>
                </w:sdt>
              </w:p>
              <w:p w14:paraId="1C1E32B5" w14:textId="77777777" w:rsidR="00F9140B" w:rsidRDefault="00F9140B" w:rsidP="00F9140B"/>
              <w:p w14:paraId="4D8BFA3B" w14:textId="77777777" w:rsidR="003235A7" w:rsidRDefault="00CD2071" w:rsidP="003B0B6B">
                <w:sdt>
                  <w:sdtPr>
                    <w:id w:val="-1069187451"/>
                    <w:citation/>
                  </w:sdtPr>
                  <w:sdtEndPr/>
                  <w:sdtContent>
                    <w:r w:rsidR="003B0B6B">
                      <w:fldChar w:fldCharType="begin"/>
                    </w:r>
                    <w:r w:rsidR="003B0B6B">
                      <w:rPr>
                        <w:lang w:val="en-CA"/>
                      </w:rPr>
                      <w:instrText xml:space="preserve"> CITATION Starkey88 \l 4105 </w:instrText>
                    </w:r>
                    <w:r w:rsidR="003B0B6B">
                      <w:fldChar w:fldCharType="separate"/>
                    </w:r>
                    <w:r w:rsidR="003B0B6B" w:rsidRPr="003B0B6B">
                      <w:rPr>
                        <w:noProof/>
                        <w:lang w:val="en-CA"/>
                      </w:rPr>
                      <w:t>(Sta</w:t>
                    </w:r>
                    <w:bookmarkStart w:id="0" w:name="_GoBack"/>
                    <w:bookmarkEnd w:id="0"/>
                    <w:r w:rsidR="003B0B6B" w:rsidRPr="003B0B6B">
                      <w:rPr>
                        <w:noProof/>
                        <w:lang w:val="en-CA"/>
                      </w:rPr>
                      <w:t>rkey)</w:t>
                    </w:r>
                    <w:r w:rsidR="003B0B6B">
                      <w:fldChar w:fldCharType="end"/>
                    </w:r>
                  </w:sdtContent>
                </w:sdt>
              </w:p>
            </w:sdtContent>
          </w:sdt>
        </w:tc>
      </w:tr>
    </w:tbl>
    <w:p w14:paraId="6DB7639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C3701" w14:textId="77777777" w:rsidR="00CD2071" w:rsidRDefault="00CD2071" w:rsidP="007A0D55">
      <w:pPr>
        <w:spacing w:after="0" w:line="240" w:lineRule="auto"/>
      </w:pPr>
      <w:r>
        <w:separator/>
      </w:r>
    </w:p>
  </w:endnote>
  <w:endnote w:type="continuationSeparator" w:id="0">
    <w:p w14:paraId="0E515D8F" w14:textId="77777777" w:rsidR="00CD2071" w:rsidRDefault="00CD20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ABC3A" w14:textId="77777777" w:rsidR="00CD2071" w:rsidRDefault="00CD2071" w:rsidP="007A0D55">
      <w:pPr>
        <w:spacing w:after="0" w:line="240" w:lineRule="auto"/>
      </w:pPr>
      <w:r>
        <w:separator/>
      </w:r>
    </w:p>
  </w:footnote>
  <w:footnote w:type="continuationSeparator" w:id="0">
    <w:p w14:paraId="67AA255D" w14:textId="77777777" w:rsidR="00CD2071" w:rsidRDefault="00CD20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693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713C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B0B6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32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2071"/>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40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F92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C0EF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C0EF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C0EF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C0EF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C0EF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C0EF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C0EF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C0EF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C0EF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C0EF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C0EFB" w:rsidRDefault="0057546F">
          <w:pPr>
            <w:pStyle w:val="EE020CC6EF1144059DB56B6DBA1EE70C"/>
          </w:pPr>
          <w:r>
            <w:rPr>
              <w:rStyle w:val="PlaceholderText"/>
            </w:rPr>
            <w:t>[Enter citations for further reading here]</w:t>
          </w:r>
        </w:p>
      </w:docPartBody>
    </w:docPart>
    <w:docPart>
      <w:docPartPr>
        <w:name w:val="194190949E4C4B80BD0F45CC87944DD9"/>
        <w:category>
          <w:name w:val="General"/>
          <w:gallery w:val="placeholder"/>
        </w:category>
        <w:types>
          <w:type w:val="bbPlcHdr"/>
        </w:types>
        <w:behaviors>
          <w:behavior w:val="content"/>
        </w:behaviors>
        <w:guid w:val="{2F2AAFBF-800F-4B63-867E-6D49836F70F1}"/>
      </w:docPartPr>
      <w:docPartBody>
        <w:p w:rsidR="000F5A4A" w:rsidRDefault="005C0EFB" w:rsidP="005C0EFB">
          <w:pPr>
            <w:pStyle w:val="194190949E4C4B80BD0F45CC87944D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F5A4A"/>
    <w:rsid w:val="0057546F"/>
    <w:rsid w:val="005C0EFB"/>
    <w:rsid w:val="007E3A7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EF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94190949E4C4B80BD0F45CC87944DD9">
    <w:name w:val="194190949E4C4B80BD0F45CC87944DD9"/>
    <w:rsid w:val="005C0EFB"/>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Starkey88</b:Tag>
    <b:SourceType>Book</b:SourceType>
    <b:Guid>{C49790F8-7AAD-4591-9525-D7E0FA798104}</b:Guid>
    <b:Author>
      <b:Author>
        <b:NameList>
          <b:Person>
            <b:Last>Starkey</b:Last>
            <b:First>Paul</b:First>
          </b:Person>
        </b:NameList>
      </b:Author>
    </b:Author>
    <b:Title>From the Ivory Tower:  A Critical Analysis of Tawfiq al-Hakim</b:Title>
    <b:Year>1988</b:Year>
    <b:City>Berkshire</b:City>
    <b:Publisher>Ithaca Press</b:Publisher>
    <b:Medium>Print</b:Medium>
    <b:RefOrder>3</b:RefOrder>
  </b:Source>
  <b:Source>
    <b:Tag>Long79</b:Tag>
    <b:SourceType>Book</b:SourceType>
    <b:Guid>{647171D2-00D3-4B42-A8DF-6801ED90F71F}</b:Guid>
    <b:Author>
      <b:Author>
        <b:NameList>
          <b:Person>
            <b:Last>Long</b:Last>
            <b:First>Richard</b:First>
          </b:Person>
        </b:NameList>
      </b:Author>
    </b:Author>
    <b:Title>Tawfiq al-Hakim:  Playwright of Egypt</b:Title>
    <b:Year>1979</b:Year>
    <b:City>Berkshire</b:City>
    <b:Publisher>Ithaca Press</b:Publisher>
    <b:Medium>Print</b:Medium>
    <b:RefOrder>2</b:RefOrder>
  </b:Source>
  <b:Source>
    <b:Tag>Hutchins98</b:Tag>
    <b:SourceType>Book</b:SourceType>
    <b:Guid>{F83AB700-3FED-564E-A65E-C175CA0C1F78}</b:Guid>
    <b:Author>
      <b:Editor>
        <b:NameList>
          <b:Person>
            <b:Last>Hutchins</b:Last>
            <b:First>William</b:First>
          </b:Person>
        </b:NameList>
      </b:Editor>
    </b:Author>
    <b:Title>Critical Perspectives on Tawfiq al-Hakim</b:Title>
    <b:Year>1998</b:Year>
    <b:City>Pueblo</b:City>
    <b:Publisher>Passeggiata Press</b:Publisher>
    <b:Medium>Print</b:Medium>
    <b:RefOrder>1</b:RefOrder>
  </b:Source>
</b:Sources>
</file>

<file path=customXml/itemProps1.xml><?xml version="1.0" encoding="utf-8"?>
<ds:datastoreItem xmlns:ds="http://schemas.openxmlformats.org/officeDocument/2006/customXml" ds:itemID="{4E2DE8CE-B4CB-A14D-92E2-35266C5C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3</TotalTime>
  <Pages>4</Pages>
  <Words>2183</Words>
  <Characters>12447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4</cp:revision>
  <dcterms:created xsi:type="dcterms:W3CDTF">2015-09-17T22:44:00Z</dcterms:created>
  <dcterms:modified xsi:type="dcterms:W3CDTF">2016-01-05T01:23:00Z</dcterms:modified>
</cp:coreProperties>
</file>