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847F9B" w14:paraId="6966D335" w14:textId="77777777" w:rsidTr="00922950">
        <w:tc>
          <w:tcPr>
            <w:tcW w:w="491" w:type="dxa"/>
            <w:vMerge w:val="restart"/>
            <w:shd w:val="clear" w:color="auto" w:fill="A6A6A6" w:themeFill="background1" w:themeFillShade="A6"/>
            <w:textDirection w:val="btLr"/>
          </w:tcPr>
          <w:p w14:paraId="6B9D345D" w14:textId="77777777" w:rsidR="00B574C9" w:rsidRPr="00847F9B" w:rsidRDefault="00B574C9" w:rsidP="00CC586D">
            <w:pPr>
              <w:jc w:val="center"/>
              <w:rPr>
                <w:b/>
                <w:color w:val="FFFFFF" w:themeColor="background1"/>
                <w:sz w:val="24"/>
                <w:szCs w:val="24"/>
              </w:rPr>
            </w:pPr>
            <w:r w:rsidRPr="00847F9B">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118AC6BFB069A41B32CF9D22FF9DE80"/>
            </w:placeholder>
            <w:showingPlcHdr/>
            <w:dropDownList>
              <w:listItem w:displayText="Dr." w:value="Dr."/>
              <w:listItem w:displayText="Prof." w:value="Prof."/>
            </w:dropDownList>
          </w:sdtPr>
          <w:sdtEndPr/>
          <w:sdtContent>
            <w:tc>
              <w:tcPr>
                <w:tcW w:w="1259" w:type="dxa"/>
              </w:tcPr>
              <w:p w14:paraId="08EEB4AC" w14:textId="77777777" w:rsidR="00B574C9" w:rsidRPr="00847F9B" w:rsidRDefault="00B574C9" w:rsidP="00CC586D">
                <w:pPr>
                  <w:jc w:val="center"/>
                  <w:rPr>
                    <w:b/>
                    <w:color w:val="FFFFFF" w:themeColor="background1"/>
                    <w:sz w:val="24"/>
                    <w:szCs w:val="24"/>
                  </w:rPr>
                </w:pPr>
                <w:r w:rsidRPr="00847F9B">
                  <w:rPr>
                    <w:rStyle w:val="PlaceholderText"/>
                    <w:b/>
                    <w:color w:val="FFFFFF" w:themeColor="background1"/>
                    <w:sz w:val="24"/>
                    <w:szCs w:val="24"/>
                  </w:rPr>
                  <w:t>[Salutation]</w:t>
                </w:r>
              </w:p>
            </w:tc>
          </w:sdtContent>
        </w:sdt>
        <w:sdt>
          <w:sdtPr>
            <w:alias w:val="First name"/>
            <w:tag w:val="authorFirstName"/>
            <w:id w:val="581645879"/>
            <w:placeholder>
              <w:docPart w:val="A3FCE32ADEC253439E34C0E9226312AD"/>
            </w:placeholder>
            <w:text/>
          </w:sdtPr>
          <w:sdtEndPr/>
          <w:sdtContent>
            <w:tc>
              <w:tcPr>
                <w:tcW w:w="2073" w:type="dxa"/>
              </w:tcPr>
              <w:p w14:paraId="4895D8B7" w14:textId="77777777" w:rsidR="00B574C9" w:rsidRPr="00847F9B" w:rsidRDefault="00847F9B" w:rsidP="00F40587">
                <w:r w:rsidRPr="00847F9B">
                  <w:t>Alan</w:t>
                </w:r>
              </w:p>
            </w:tc>
          </w:sdtContent>
        </w:sdt>
        <w:sdt>
          <w:sdtPr>
            <w:alias w:val="Middle name"/>
            <w:tag w:val="authorMiddleName"/>
            <w:id w:val="-2076034781"/>
            <w:placeholder>
              <w:docPart w:val="8AFFD57800D02B4EB69AB0DB3F8613FE"/>
            </w:placeholder>
            <w:showingPlcHdr/>
            <w:text/>
          </w:sdtPr>
          <w:sdtEndPr/>
          <w:sdtContent>
            <w:tc>
              <w:tcPr>
                <w:tcW w:w="2551" w:type="dxa"/>
              </w:tcPr>
              <w:p w14:paraId="37A7C118" w14:textId="77777777" w:rsidR="00B574C9" w:rsidRPr="00847F9B" w:rsidRDefault="00B574C9" w:rsidP="00F40587">
                <w:r w:rsidRPr="00847F9B">
                  <w:rPr>
                    <w:rStyle w:val="PlaceholderText"/>
                    <w:sz w:val="24"/>
                    <w:szCs w:val="24"/>
                  </w:rPr>
                  <w:t>[Middle name]</w:t>
                </w:r>
              </w:p>
            </w:tc>
          </w:sdtContent>
        </w:sdt>
        <w:sdt>
          <w:sdtPr>
            <w:alias w:val="Last name"/>
            <w:tag w:val="authorLastName"/>
            <w:id w:val="-1088529830"/>
            <w:placeholder>
              <w:docPart w:val="A9F66EBEFAA5674BAC4806DEDF9D68BF"/>
            </w:placeholder>
            <w:text/>
          </w:sdtPr>
          <w:sdtEndPr/>
          <w:sdtContent>
            <w:tc>
              <w:tcPr>
                <w:tcW w:w="2642" w:type="dxa"/>
              </w:tcPr>
              <w:p w14:paraId="39A77CAD" w14:textId="77777777" w:rsidR="00B574C9" w:rsidRPr="00847F9B" w:rsidRDefault="00847F9B" w:rsidP="00F40587">
                <w:proofErr w:type="spellStart"/>
                <w:r w:rsidRPr="00847F9B">
                  <w:t>Filewod</w:t>
                </w:r>
                <w:proofErr w:type="spellEnd"/>
              </w:p>
            </w:tc>
          </w:sdtContent>
        </w:sdt>
      </w:tr>
      <w:tr w:rsidR="00B574C9" w:rsidRPr="00847F9B" w14:paraId="37EF0A75" w14:textId="77777777" w:rsidTr="001A6A06">
        <w:trPr>
          <w:trHeight w:val="986"/>
        </w:trPr>
        <w:tc>
          <w:tcPr>
            <w:tcW w:w="491" w:type="dxa"/>
            <w:vMerge/>
            <w:shd w:val="clear" w:color="auto" w:fill="A6A6A6" w:themeFill="background1" w:themeFillShade="A6"/>
          </w:tcPr>
          <w:p w14:paraId="28C19AB5" w14:textId="77777777" w:rsidR="00B574C9" w:rsidRPr="00847F9B"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87EBC7033017064BABF2EBB00311723D"/>
            </w:placeholder>
            <w:showingPlcHdr/>
          </w:sdtPr>
          <w:sdtEndPr/>
          <w:sdtContent>
            <w:tc>
              <w:tcPr>
                <w:tcW w:w="8525" w:type="dxa"/>
                <w:gridSpan w:val="4"/>
              </w:tcPr>
              <w:p w14:paraId="2658CE4C" w14:textId="77777777" w:rsidR="00B574C9" w:rsidRPr="00847F9B" w:rsidRDefault="00B574C9" w:rsidP="00922950">
                <w:pPr>
                  <w:rPr>
                    <w:sz w:val="24"/>
                    <w:szCs w:val="24"/>
                  </w:rPr>
                </w:pPr>
                <w:r w:rsidRPr="00847F9B">
                  <w:rPr>
                    <w:rStyle w:val="PlaceholderText"/>
                    <w:sz w:val="24"/>
                    <w:szCs w:val="24"/>
                  </w:rPr>
                  <w:t>[Enter your biography]</w:t>
                </w:r>
              </w:p>
            </w:tc>
          </w:sdtContent>
        </w:sdt>
      </w:tr>
      <w:tr w:rsidR="00B574C9" w:rsidRPr="00847F9B" w14:paraId="150DDC84" w14:textId="77777777" w:rsidTr="001A6A06">
        <w:trPr>
          <w:trHeight w:val="986"/>
        </w:trPr>
        <w:tc>
          <w:tcPr>
            <w:tcW w:w="491" w:type="dxa"/>
            <w:vMerge/>
            <w:shd w:val="clear" w:color="auto" w:fill="A6A6A6" w:themeFill="background1" w:themeFillShade="A6"/>
          </w:tcPr>
          <w:p w14:paraId="687103F7" w14:textId="77777777" w:rsidR="00B574C9" w:rsidRPr="00847F9B" w:rsidRDefault="00B574C9" w:rsidP="00CF1542">
            <w:pPr>
              <w:jc w:val="center"/>
              <w:rPr>
                <w:b/>
                <w:color w:val="FFFFFF" w:themeColor="background1"/>
                <w:sz w:val="24"/>
                <w:szCs w:val="24"/>
              </w:rPr>
            </w:pPr>
          </w:p>
        </w:tc>
        <w:sdt>
          <w:sdtPr>
            <w:alias w:val="Affiliation"/>
            <w:tag w:val="affiliation"/>
            <w:id w:val="2012937915"/>
            <w:placeholder>
              <w:docPart w:val="308AD37B40C7B344BD21E021E1D1C09B"/>
            </w:placeholder>
            <w:text/>
          </w:sdtPr>
          <w:sdtEndPr/>
          <w:sdtContent>
            <w:tc>
              <w:tcPr>
                <w:tcW w:w="8525" w:type="dxa"/>
                <w:gridSpan w:val="4"/>
              </w:tcPr>
              <w:p w14:paraId="52B21649" w14:textId="77777777" w:rsidR="00B574C9" w:rsidRPr="00847F9B" w:rsidRDefault="00847F9B" w:rsidP="00F40587">
                <w:r w:rsidRPr="00847F9B">
                  <w:t>University of Guelph</w:t>
                </w:r>
              </w:p>
            </w:tc>
          </w:sdtContent>
        </w:sdt>
      </w:tr>
    </w:tbl>
    <w:p w14:paraId="4FD1804E" w14:textId="77777777" w:rsidR="003D3579" w:rsidRPr="00847F9B"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47F9B" w14:paraId="6EFE4BF0" w14:textId="77777777" w:rsidTr="00244BB0">
        <w:tc>
          <w:tcPr>
            <w:tcW w:w="9016" w:type="dxa"/>
            <w:shd w:val="clear" w:color="auto" w:fill="A6A6A6" w:themeFill="background1" w:themeFillShade="A6"/>
            <w:tcMar>
              <w:top w:w="113" w:type="dxa"/>
              <w:bottom w:w="113" w:type="dxa"/>
            </w:tcMar>
          </w:tcPr>
          <w:p w14:paraId="33340DB3" w14:textId="77777777" w:rsidR="00244BB0" w:rsidRPr="00847F9B" w:rsidRDefault="00244BB0" w:rsidP="00244BB0">
            <w:pPr>
              <w:jc w:val="center"/>
              <w:rPr>
                <w:b/>
                <w:color w:val="FFFFFF" w:themeColor="background1"/>
                <w:sz w:val="24"/>
                <w:szCs w:val="24"/>
              </w:rPr>
            </w:pPr>
            <w:r w:rsidRPr="00847F9B">
              <w:rPr>
                <w:b/>
                <w:color w:val="FFFFFF" w:themeColor="background1"/>
                <w:sz w:val="24"/>
                <w:szCs w:val="24"/>
              </w:rPr>
              <w:t>Your article</w:t>
            </w:r>
          </w:p>
        </w:tc>
      </w:tr>
      <w:tr w:rsidR="003F0D73" w:rsidRPr="00847F9B" w14:paraId="183E5003" w14:textId="77777777" w:rsidTr="003F0D73">
        <w:sdt>
          <w:sdtPr>
            <w:alias w:val="Article headword"/>
            <w:tag w:val="articleHeadword"/>
            <w:id w:val="-361440020"/>
            <w:placeholder>
              <w:docPart w:val="E7A41CB5452AAF4C9F10C342FC0FB8F3"/>
            </w:placeholder>
            <w:text/>
          </w:sdtPr>
          <w:sdtEndPr/>
          <w:sdtContent>
            <w:tc>
              <w:tcPr>
                <w:tcW w:w="9016" w:type="dxa"/>
                <w:tcMar>
                  <w:top w:w="113" w:type="dxa"/>
                  <w:bottom w:w="113" w:type="dxa"/>
                </w:tcMar>
              </w:tcPr>
              <w:p w14:paraId="2CB43412" w14:textId="77777777" w:rsidR="003F0D73" w:rsidRPr="00847F9B" w:rsidRDefault="00847F9B" w:rsidP="00F40587">
                <w:pPr>
                  <w:rPr>
                    <w:b/>
                  </w:rPr>
                </w:pPr>
                <w:r w:rsidRPr="00847F9B">
                  <w:t>Agitprop Theatre</w:t>
                </w:r>
              </w:p>
            </w:tc>
          </w:sdtContent>
        </w:sdt>
      </w:tr>
      <w:tr w:rsidR="00464699" w:rsidRPr="00847F9B" w14:paraId="1E5EB545" w14:textId="77777777" w:rsidTr="00847F9B">
        <w:sdt>
          <w:sdtPr>
            <w:rPr>
              <w:sz w:val="24"/>
              <w:szCs w:val="24"/>
            </w:rPr>
            <w:alias w:val="Variant headwords"/>
            <w:tag w:val="variantHeadwords"/>
            <w:id w:val="173464402"/>
            <w:placeholder>
              <w:docPart w:val="85A006225BC4B64889B7345DDCBBE16A"/>
            </w:placeholder>
            <w:showingPlcHdr/>
          </w:sdtPr>
          <w:sdtEndPr/>
          <w:sdtContent>
            <w:tc>
              <w:tcPr>
                <w:tcW w:w="9016" w:type="dxa"/>
                <w:tcMar>
                  <w:top w:w="113" w:type="dxa"/>
                  <w:bottom w:w="113" w:type="dxa"/>
                </w:tcMar>
              </w:tcPr>
              <w:p w14:paraId="299042C8" w14:textId="77777777" w:rsidR="00464699" w:rsidRPr="00847F9B" w:rsidRDefault="00464699" w:rsidP="00464699">
                <w:pPr>
                  <w:rPr>
                    <w:sz w:val="24"/>
                    <w:szCs w:val="24"/>
                  </w:rPr>
                </w:pPr>
                <w:r w:rsidRPr="00847F9B">
                  <w:rPr>
                    <w:rStyle w:val="PlaceholderText"/>
                    <w:b/>
                    <w:sz w:val="24"/>
                    <w:szCs w:val="24"/>
                  </w:rPr>
                  <w:t xml:space="preserve">[Enter any </w:t>
                </w:r>
                <w:r w:rsidRPr="00847F9B">
                  <w:rPr>
                    <w:rStyle w:val="PlaceholderText"/>
                    <w:b/>
                    <w:i/>
                    <w:sz w:val="24"/>
                    <w:szCs w:val="24"/>
                  </w:rPr>
                  <w:t>variant forms</w:t>
                </w:r>
                <w:r w:rsidRPr="00847F9B">
                  <w:rPr>
                    <w:rStyle w:val="PlaceholderText"/>
                    <w:b/>
                    <w:sz w:val="24"/>
                    <w:szCs w:val="24"/>
                  </w:rPr>
                  <w:t xml:space="preserve"> of your headword – OPTIONAL]</w:t>
                </w:r>
              </w:p>
            </w:tc>
          </w:sdtContent>
        </w:sdt>
      </w:tr>
      <w:tr w:rsidR="00E85A05" w:rsidRPr="00847F9B" w14:paraId="409B8EFE" w14:textId="77777777" w:rsidTr="003F0D73">
        <w:sdt>
          <w:sdtPr>
            <w:alias w:val="Abstract"/>
            <w:tag w:val="abstract"/>
            <w:id w:val="-635871867"/>
            <w:placeholder>
              <w:docPart w:val="98DA7149788BB148AB8E7ADD32CAE835"/>
            </w:placeholder>
          </w:sdtPr>
          <w:sdtEndPr/>
          <w:sdtContent>
            <w:tc>
              <w:tcPr>
                <w:tcW w:w="9016" w:type="dxa"/>
                <w:tcMar>
                  <w:top w:w="113" w:type="dxa"/>
                  <w:bottom w:w="113" w:type="dxa"/>
                </w:tcMar>
              </w:tcPr>
              <w:p w14:paraId="325CDDE7" w14:textId="77777777" w:rsidR="00847F9B" w:rsidRPr="00847F9B" w:rsidRDefault="00847F9B" w:rsidP="00F40587">
                <w:r w:rsidRPr="00847F9B">
                  <w:t xml:space="preserve">Now widely used as a catch-all term to describe politically combative or oppositional art, ‘agitprop’ originated from the early Soviet conjunction of propaganda (raising awareness of an issue) and agitation (exciting an emotional response to the issue), as theorized by Lenin in </w:t>
                </w:r>
                <w:r w:rsidRPr="00847F9B">
                  <w:rPr>
                    <w:i/>
                  </w:rPr>
                  <w:t>What Is To Be Done</w:t>
                </w:r>
                <w:r w:rsidRPr="00847F9B">
                  <w:t xml:space="preserve"> (1902) and institutionalized in the many departments and commissions of Agitation and Propaganda in the USSR and the </w:t>
                </w:r>
                <w:proofErr w:type="spellStart"/>
                <w:r w:rsidRPr="00847F9B">
                  <w:t>Comintern</w:t>
                </w:r>
                <w:proofErr w:type="spellEnd"/>
                <w:r w:rsidRPr="00847F9B">
                  <w:t xml:space="preserve"> after the Russian Revolution. The portmanteau term conveys the terse telegraphic efficiencies of Bolshevik bureaucratic rhetoric. Considered both as a mode of artistic production and a set of formal characteristics, agitprop had an immense impact on modernist cultural practice, particularly in graphic design, visual art, and theatre. </w:t>
                </w:r>
              </w:p>
              <w:p w14:paraId="2FB9A57C" w14:textId="77777777" w:rsidR="00847F9B" w:rsidRPr="00847F9B" w:rsidRDefault="00847F9B" w:rsidP="00847F9B">
                <w:pPr>
                  <w:contextualSpacing/>
                  <w:rPr>
                    <w:sz w:val="24"/>
                    <w:szCs w:val="24"/>
                  </w:rPr>
                </w:pPr>
              </w:p>
              <w:p w14:paraId="000E533A" w14:textId="77777777" w:rsidR="00E85A05" w:rsidRPr="00847F9B" w:rsidRDefault="00847F9B" w:rsidP="00F40587">
                <w:r w:rsidRPr="00847F9B">
                  <w:t xml:space="preserve">In the theatre, agitprop developed in Russia and Germany as a mobile form of exhortative revolutionary theatre designed for quick outdoor performance. It was adaptive to location, audience, and cast, and suited the sightlines and acoustics of outdoor performance in found spaces. Short phrases, heavy cadence, and repetition allowed performance to project through noisy and unruly audiences. The form achieved widespread popularity in the brief period between the mid-1920s and the coalescence of the Popular Front in 1934, when artistic and political radicalisms aligned in a vision of an artistic practice mobilized by international proletarian modernity; in this, agitprop was theorized as the </w:t>
                </w:r>
                <w:proofErr w:type="spellStart"/>
                <w:r w:rsidRPr="00847F9B">
                  <w:t>theatricalization</w:t>
                </w:r>
                <w:proofErr w:type="spellEnd"/>
                <w:r w:rsidRPr="00847F9B">
                  <w:t xml:space="preserve"> of modernity.</w:t>
                </w:r>
              </w:p>
            </w:tc>
          </w:sdtContent>
        </w:sdt>
      </w:tr>
      <w:tr w:rsidR="003F0D73" w:rsidRPr="00847F9B" w14:paraId="5F8073A6" w14:textId="77777777" w:rsidTr="003F0D73">
        <w:sdt>
          <w:sdtPr>
            <w:alias w:val="Article text"/>
            <w:tag w:val="articleText"/>
            <w:id w:val="634067588"/>
            <w:placeholder>
              <w:docPart w:val="B509B7E21A1FBA4CAE6645A0CC3A0269"/>
            </w:placeholder>
          </w:sdtPr>
          <w:sdtEndPr/>
          <w:sdtContent>
            <w:tc>
              <w:tcPr>
                <w:tcW w:w="9016" w:type="dxa"/>
                <w:tcMar>
                  <w:top w:w="113" w:type="dxa"/>
                  <w:bottom w:w="113" w:type="dxa"/>
                </w:tcMar>
              </w:tcPr>
              <w:p w14:paraId="2AC98596" w14:textId="77777777" w:rsidR="00847F9B" w:rsidRDefault="00847F9B" w:rsidP="00F40587">
                <w:r w:rsidRPr="00847F9B">
                  <w:t xml:space="preserve">Now widely used as a catch-all term to describe politically combative or oppositional art, ‘agitprop’ originated from the early Soviet conjunction of propaganda (raising awareness of an issue) and agitation (exciting an emotional response to the issue), as theorized by Lenin in </w:t>
                </w:r>
                <w:r w:rsidRPr="00847F9B">
                  <w:rPr>
                    <w:i/>
                  </w:rPr>
                  <w:t>What Is To Be Done</w:t>
                </w:r>
                <w:r w:rsidRPr="00847F9B">
                  <w:t xml:space="preserve"> (1902) and institutionalized in the many departments and commissions of Agitation and Propaganda in the USSR and the </w:t>
                </w:r>
                <w:proofErr w:type="spellStart"/>
                <w:r w:rsidRPr="00847F9B">
                  <w:t>Comintern</w:t>
                </w:r>
                <w:proofErr w:type="spellEnd"/>
                <w:r w:rsidRPr="00847F9B">
                  <w:t xml:space="preserve"> after the Russian Revolution. The portmanteau term conveys the terse telegraphic efficiencies of Bolshevik bureaucratic rhetoric. Considered both as a mode of artistic production and a set of formal characteristics, agitprop had an immense impact on modernist cultural practice, particularly in graphic design, visual art, and theatre. </w:t>
                </w:r>
              </w:p>
              <w:p w14:paraId="10168E68" w14:textId="77777777" w:rsidR="00DF3449" w:rsidRDefault="00DF3449" w:rsidP="00847F9B">
                <w:pPr>
                  <w:contextualSpacing/>
                  <w:rPr>
                    <w:sz w:val="24"/>
                    <w:szCs w:val="24"/>
                  </w:rPr>
                </w:pPr>
              </w:p>
              <w:p w14:paraId="4C61E720" w14:textId="77777777" w:rsidR="00DF3449" w:rsidRDefault="00DF3449" w:rsidP="00F40587">
                <w:r>
                  <w:t>File: SovietAgitpropTrain.jpg</w:t>
                </w:r>
              </w:p>
              <w:p w14:paraId="62EC8B11" w14:textId="77777777" w:rsidR="00DF3449" w:rsidRPr="00847F9B" w:rsidRDefault="00DF3449" w:rsidP="00DF3449">
                <w:pPr>
                  <w:pStyle w:val="Caption"/>
                  <w:rPr>
                    <w:sz w:val="24"/>
                    <w:szCs w:val="24"/>
                  </w:rPr>
                </w:pPr>
                <w:r>
                  <w:t xml:space="preserve">Figure </w:t>
                </w:r>
                <w:fldSimple w:instr=" SEQ Figure \* ARABIC ">
                  <w:r>
                    <w:rPr>
                      <w:noProof/>
                    </w:rPr>
                    <w:t>1</w:t>
                  </w:r>
                </w:fldSimple>
                <w:r>
                  <w:t xml:space="preserve"> An early Soviet agitprop train.</w:t>
                </w:r>
              </w:p>
              <w:p w14:paraId="27A00037" w14:textId="77777777" w:rsidR="00DF3449" w:rsidRPr="00DF3449" w:rsidRDefault="00F40587" w:rsidP="00F40587">
                <w:pPr>
                  <w:pStyle w:val="Authornote"/>
                </w:pPr>
                <w:r>
                  <w:t>[[</w:t>
                </w:r>
                <w:r w:rsidR="00DF3449" w:rsidRPr="00DF3449">
                  <w:t>Source: http://275design.wordpress.com/2010/12/07/8-dec-propaganda-and-protest/</w:t>
                </w:r>
                <w:r>
                  <w:t>]]</w:t>
                </w:r>
              </w:p>
              <w:p w14:paraId="40350D2E" w14:textId="77777777" w:rsidR="00847F9B" w:rsidRPr="00847F9B" w:rsidRDefault="00847F9B" w:rsidP="00847F9B">
                <w:pPr>
                  <w:contextualSpacing/>
                  <w:rPr>
                    <w:sz w:val="24"/>
                    <w:szCs w:val="24"/>
                  </w:rPr>
                </w:pPr>
              </w:p>
              <w:p w14:paraId="4E477753" w14:textId="77777777" w:rsidR="00847F9B" w:rsidRPr="00847F9B" w:rsidRDefault="00847F9B" w:rsidP="00F40587">
                <w:r w:rsidRPr="00847F9B">
                  <w:t xml:space="preserve">In the theatre, agitprop developed in Russia and Germany as a mobile form of exhortative revolutionary theatre designed for quick outdoor performance. It was adaptive to location, audience, and cast, and suited the sightlines and acoustics of outdoor performance in found </w:t>
                </w:r>
                <w:r w:rsidRPr="00847F9B">
                  <w:lastRenderedPageBreak/>
                  <w:t xml:space="preserve">spaces. Short phrases, heavy cadence, and repetition allowed performance to project through noisy and unruly audiences. The form achieved widespread popularity in the brief period between the mid-1920s and the coalescence of the Popular Front in 1934, when artistic and political radicalisms aligned in a vision of an artistic practice mobilized by international proletarian modernity; in this, agitprop was theorized as the </w:t>
                </w:r>
                <w:proofErr w:type="spellStart"/>
                <w:r w:rsidRPr="00847F9B">
                  <w:t>theatricalization</w:t>
                </w:r>
                <w:proofErr w:type="spellEnd"/>
                <w:r w:rsidRPr="00847F9B">
                  <w:t xml:space="preserve"> of modernity.</w:t>
                </w:r>
              </w:p>
              <w:p w14:paraId="26B98E49" w14:textId="77777777" w:rsidR="00847F9B" w:rsidRDefault="00847F9B" w:rsidP="00847F9B">
                <w:pPr>
                  <w:contextualSpacing/>
                  <w:rPr>
                    <w:sz w:val="24"/>
                    <w:szCs w:val="24"/>
                  </w:rPr>
                </w:pPr>
                <w:r w:rsidRPr="00847F9B">
                  <w:rPr>
                    <w:sz w:val="24"/>
                    <w:szCs w:val="24"/>
                  </w:rPr>
                  <w:tab/>
                </w:r>
              </w:p>
              <w:p w14:paraId="379445E9" w14:textId="77777777" w:rsidR="00DF3449" w:rsidRDefault="00DF3449" w:rsidP="00F40587">
                <w:r>
                  <w:t>File: TheDrummersAgitprop.jpg</w:t>
                </w:r>
              </w:p>
              <w:p w14:paraId="4E4AC8BF" w14:textId="77777777" w:rsidR="00DF3449" w:rsidRPr="00847F9B" w:rsidRDefault="00DF3449" w:rsidP="00DF3449">
                <w:pPr>
                  <w:pStyle w:val="Caption"/>
                  <w:rPr>
                    <w:sz w:val="24"/>
                    <w:szCs w:val="24"/>
                  </w:rPr>
                </w:pPr>
                <w:r>
                  <w:t xml:space="preserve">Figure </w:t>
                </w:r>
                <w:fldSimple w:instr=" SEQ Figure \* ARABIC ">
                  <w:r>
                    <w:rPr>
                      <w:noProof/>
                    </w:rPr>
                    <w:t>2</w:t>
                  </w:r>
                </w:fldSimple>
                <w:r>
                  <w:t xml:space="preserve"> The Drummers, </w:t>
                </w:r>
                <w:proofErr w:type="gramStart"/>
                <w:r>
                  <w:t>a German agitprop troupe</w:t>
                </w:r>
                <w:proofErr w:type="gramEnd"/>
                <w:r>
                  <w:t>.</w:t>
                </w:r>
              </w:p>
              <w:p w14:paraId="26041DB5" w14:textId="77777777" w:rsidR="00DF3449" w:rsidRPr="00DF3449" w:rsidRDefault="00F40587" w:rsidP="00F40587">
                <w:pPr>
                  <w:pStyle w:val="Authornote"/>
                </w:pPr>
                <w:r>
                  <w:t>[[</w:t>
                </w:r>
                <w:r w:rsidR="00DF3449">
                  <w:t xml:space="preserve">Source: </w:t>
                </w:r>
                <w:r w:rsidR="00DF3449" w:rsidRPr="00DF3449">
                  <w:t xml:space="preserve">Reproduced in Willett, John. (1978) </w:t>
                </w:r>
                <w:r w:rsidR="00DF3449" w:rsidRPr="00DF3449">
                  <w:rPr>
                    <w:i/>
                  </w:rPr>
                  <w:t>Art and Politics in the Weimar Period</w:t>
                </w:r>
                <w:r w:rsidR="00DF3449" w:rsidRPr="00DF3449">
                  <w:t>, New York: Pantheon: 157.]</w:t>
                </w:r>
                <w:r>
                  <w:t>]</w:t>
                </w:r>
              </w:p>
              <w:p w14:paraId="06F465D3" w14:textId="77777777" w:rsidR="00DF3449" w:rsidRPr="00847F9B" w:rsidRDefault="00DF3449" w:rsidP="00847F9B">
                <w:pPr>
                  <w:contextualSpacing/>
                  <w:rPr>
                    <w:sz w:val="24"/>
                    <w:szCs w:val="24"/>
                  </w:rPr>
                </w:pPr>
              </w:p>
              <w:p w14:paraId="68F3048D" w14:textId="77777777" w:rsidR="00847F9B" w:rsidRPr="00847F9B" w:rsidRDefault="00847F9B" w:rsidP="00F40587">
                <w:r w:rsidRPr="00847F9B">
                  <w:t xml:space="preserve">The spread of agitprop as a principal tactic of the Workers’ Theatre Movement began with the adaptation of German practices in North America and Europe. A formative figure was Hans Bohn, a German communist activist who moved to New York to organize in the German community, changed his name to John Bonn, and founded </w:t>
                </w:r>
                <w:proofErr w:type="spellStart"/>
                <w:r w:rsidRPr="00847F9B">
                  <w:t>Prolet-Buehne</w:t>
                </w:r>
                <w:proofErr w:type="spellEnd"/>
                <w:r w:rsidRPr="00847F9B">
                  <w:t xml:space="preserve"> in 1925. </w:t>
                </w:r>
                <w:proofErr w:type="spellStart"/>
                <w:r w:rsidRPr="00847F9B">
                  <w:t>Prolet-Buehne’s</w:t>
                </w:r>
                <w:proofErr w:type="spellEnd"/>
                <w:r w:rsidRPr="00847F9B">
                  <w:t xml:space="preserve"> drilled, choreographic performances, with emphasis on choral recitations and mass chant, established a template for agitprop troupes such as the Shock Troupe of the Workers’ Laboratory Theatre in New York and the Toronto-based Workers’ Experimental Theatre. Bonn also founded the magazine </w:t>
                </w:r>
                <w:r w:rsidRPr="00847F9B">
                  <w:rPr>
                    <w:i/>
                  </w:rPr>
                  <w:t>Workers Theatre</w:t>
                </w:r>
                <w:r w:rsidRPr="00847F9B">
                  <w:t xml:space="preserve"> and established the League of Workers’ Theatres, which functioned as the organizational and ideological centres that linked the North American workers’ theatres to the </w:t>
                </w:r>
                <w:proofErr w:type="spellStart"/>
                <w:r w:rsidRPr="00847F9B">
                  <w:t>Comintern</w:t>
                </w:r>
                <w:proofErr w:type="spellEnd"/>
                <w:r w:rsidRPr="00847F9B">
                  <w:t>.</w:t>
                </w:r>
              </w:p>
              <w:p w14:paraId="4E027834" w14:textId="77777777" w:rsidR="00847F9B" w:rsidRPr="00847F9B" w:rsidRDefault="00847F9B" w:rsidP="00847F9B">
                <w:pPr>
                  <w:contextualSpacing/>
                  <w:rPr>
                    <w:sz w:val="24"/>
                    <w:szCs w:val="24"/>
                  </w:rPr>
                </w:pPr>
                <w:r w:rsidRPr="00847F9B">
                  <w:rPr>
                    <w:sz w:val="24"/>
                    <w:szCs w:val="24"/>
                  </w:rPr>
                  <w:tab/>
                </w:r>
              </w:p>
              <w:p w14:paraId="4FCA3AB5" w14:textId="77777777" w:rsidR="00847F9B" w:rsidRPr="00847F9B" w:rsidRDefault="00847F9B" w:rsidP="00F40587">
                <w:r w:rsidRPr="00847F9B">
                  <w:t xml:space="preserve">At its peak, encouraged by the </w:t>
                </w:r>
                <w:proofErr w:type="spellStart"/>
                <w:r w:rsidRPr="00847F9B">
                  <w:t>Comintern</w:t>
                </w:r>
                <w:proofErr w:type="spellEnd"/>
                <w:r w:rsidRPr="00847F9B">
                  <w:t>, agitprop was proposed as a new form of proletarian modernism. One of the most important articulations of its theory was Al Saxe’s 1934 essay ‘</w:t>
                </w:r>
                <w:r w:rsidRPr="00847F9B">
                  <w:rPr>
                    <w:i/>
                  </w:rPr>
                  <w:t>Newsboy</w:t>
                </w:r>
                <w:r w:rsidR="00F40587">
                  <w:t>: From Script to Performance</w:t>
                </w:r>
                <w:r w:rsidRPr="00847F9B">
                  <w:t>’</w:t>
                </w:r>
                <w:r w:rsidR="00F40587">
                  <w:t>,</w:t>
                </w:r>
                <w:r w:rsidRPr="00847F9B">
                  <w:t xml:space="preserve"> which theorized the play’s fusion of fragmented dialogue, imagery, rapid movement, and repetition as a performance machine driven by dialectic and tempo rather than dramatic causality. The notion of </w:t>
                </w:r>
                <w:proofErr w:type="spellStart"/>
                <w:r w:rsidRPr="00847F9B">
                  <w:t>agitpop</w:t>
                </w:r>
                <w:proofErr w:type="spellEnd"/>
                <w:r w:rsidRPr="00847F9B">
                  <w:t xml:space="preserve"> as evidence of trans-national proletarian culture led to its centrality in mass competitions, such as the 1932 </w:t>
                </w:r>
                <w:proofErr w:type="spellStart"/>
                <w:r w:rsidRPr="00847F9B">
                  <w:t>Spartakiade</w:t>
                </w:r>
                <w:proofErr w:type="spellEnd"/>
                <w:r w:rsidRPr="00847F9B">
                  <w:t xml:space="preserve"> in New York and the 1933 Revolutionary Theatre Olympiad in Moscow, in which troupes were scored on the basis of technical competence, tempo, movement, and ideological clarity.</w:t>
                </w:r>
              </w:p>
              <w:p w14:paraId="1C3B071A" w14:textId="77777777" w:rsidR="00847F9B" w:rsidRPr="00847F9B" w:rsidRDefault="00847F9B" w:rsidP="00847F9B">
                <w:pPr>
                  <w:contextualSpacing/>
                  <w:rPr>
                    <w:sz w:val="24"/>
                    <w:szCs w:val="24"/>
                  </w:rPr>
                </w:pPr>
              </w:p>
              <w:p w14:paraId="1F8C1FA7" w14:textId="77777777" w:rsidR="00847F9B" w:rsidRPr="00847F9B" w:rsidRDefault="00847F9B" w:rsidP="00F40587">
                <w:r w:rsidRPr="00847F9B">
                  <w:t xml:space="preserve">Despite such attempts to systematize agitprop, radical performance proliferated in a vast number of forms, including puppetry, vaudeville, and ballet. By the mid-1930s, a growing tendency towards more complex dramatic models stigmatized agitprop as immature and politically sectarian. As later recalled by Ewan </w:t>
                </w:r>
                <w:proofErr w:type="spellStart"/>
                <w:r w:rsidRPr="00847F9B">
                  <w:t>MacColl</w:t>
                </w:r>
                <w:proofErr w:type="spellEnd"/>
                <w:r w:rsidRPr="00847F9B">
                  <w:t xml:space="preserve">, who had started performing agitprops in the late 1920s in Manchester with his troupe Red Megaphone, artists began to seek ways to make their work more theatrically complex and dramatically intelligent. This shift had the effect of taking them off the streets and into theatre spaces that enabled experimentation with scenography and design. The waning of militancy that marked the arrival of the Popular Front nudged radical groups to tone down the rhetoric of class war. The proponents of agitprop attempted to mediate the emergence of Popular Front social realism; thus, Bonn wrote in 1932 that ‘we need both types as weapons in the class struggle, the flashlight effect of the mobile up-to-date </w:t>
                </w:r>
                <w:proofErr w:type="spellStart"/>
                <w:r w:rsidRPr="00847F9B">
                  <w:t>agit</w:t>
                </w:r>
                <w:proofErr w:type="spellEnd"/>
                <w:r w:rsidRPr="00847F9B">
                  <w:t>-prop theatre as well as the impetus of the slower but broad attack of the more complicated stationary theatre’</w:t>
                </w:r>
                <w:r w:rsidRPr="00847F9B" w:rsidDel="006C0868">
                  <w:t xml:space="preserve"> </w:t>
                </w:r>
                <w:r w:rsidR="00F40587">
                  <w:t xml:space="preserve">(Bonn </w:t>
                </w:r>
                <w:r w:rsidRPr="00847F9B">
                  <w:t xml:space="preserve">8). As radical troupes realigned their politics, Clifford Odets’s </w:t>
                </w:r>
                <w:r w:rsidRPr="00847F9B">
                  <w:rPr>
                    <w:i/>
                  </w:rPr>
                  <w:t>Waiting for Lefty</w:t>
                </w:r>
                <w:r w:rsidRPr="00847F9B">
                  <w:t xml:space="preserve"> (1935) circulated internationally as a useful bridge from agitprop to the new doctrine of socialist realism.</w:t>
                </w:r>
              </w:p>
              <w:p w14:paraId="5DA70DC7" w14:textId="77777777" w:rsidR="00847F9B" w:rsidRPr="00847F9B" w:rsidRDefault="00847F9B" w:rsidP="00847F9B">
                <w:pPr>
                  <w:contextualSpacing/>
                  <w:rPr>
                    <w:sz w:val="24"/>
                    <w:szCs w:val="24"/>
                  </w:rPr>
                </w:pPr>
              </w:p>
              <w:p w14:paraId="6CC86967" w14:textId="77777777" w:rsidR="003F0D73" w:rsidRPr="00847F9B" w:rsidRDefault="00847F9B" w:rsidP="00F40587">
                <w:r w:rsidRPr="00847F9B">
                  <w:t xml:space="preserve">Although workers’ theatre groups repudiated agitprop as inartistic and sectarian, </w:t>
                </w:r>
                <w:proofErr w:type="spellStart"/>
                <w:r w:rsidRPr="00847F9B">
                  <w:t>Bertolt</w:t>
                </w:r>
                <w:proofErr w:type="spellEnd"/>
                <w:r w:rsidRPr="00847F9B">
                  <w:t xml:space="preserve"> Brecht demonstrated its pedagogical capacity in his </w:t>
                </w:r>
                <w:proofErr w:type="spellStart"/>
                <w:r w:rsidRPr="00847F9B">
                  <w:rPr>
                    <w:i/>
                  </w:rPr>
                  <w:t>lehrstucke</w:t>
                </w:r>
                <w:proofErr w:type="spellEnd"/>
                <w:r w:rsidRPr="00847F9B">
                  <w:t xml:space="preserve">, </w:t>
                </w:r>
                <w:proofErr w:type="spellStart"/>
                <w:r w:rsidRPr="00847F9B">
                  <w:t>particulary</w:t>
                </w:r>
                <w:proofErr w:type="spellEnd"/>
                <w:r w:rsidRPr="00847F9B">
                  <w:t xml:space="preserve"> in </w:t>
                </w:r>
                <w:r w:rsidRPr="00847F9B">
                  <w:rPr>
                    <w:i/>
                  </w:rPr>
                  <w:t xml:space="preserve">The Measures Taken </w:t>
                </w:r>
                <w:r w:rsidRPr="00847F9B">
                  <w:t xml:space="preserve">(1930). In the 1960s, a widespread revival of agitprop, variously known as street theatre or </w:t>
                </w:r>
                <w:proofErr w:type="spellStart"/>
                <w:r w:rsidRPr="00847F9B">
                  <w:t>guerilla</w:t>
                </w:r>
                <w:proofErr w:type="spellEnd"/>
                <w:r w:rsidRPr="00847F9B">
                  <w:t xml:space="preserve"> theatre, became a common counter-cultural protest tactic that continues in the present day.</w:t>
                </w:r>
              </w:p>
            </w:tc>
          </w:sdtContent>
        </w:sdt>
      </w:tr>
      <w:tr w:rsidR="003235A7" w:rsidRPr="00847F9B" w14:paraId="2D89AED9" w14:textId="77777777" w:rsidTr="003235A7">
        <w:tc>
          <w:tcPr>
            <w:tcW w:w="9016" w:type="dxa"/>
          </w:tcPr>
          <w:p w14:paraId="5DE1A269" w14:textId="77777777" w:rsidR="003235A7" w:rsidRPr="00847F9B" w:rsidRDefault="003235A7" w:rsidP="00F40587">
            <w:r w:rsidRPr="00847F9B">
              <w:lastRenderedPageBreak/>
              <w:t>Further reading:</w:t>
            </w:r>
          </w:p>
          <w:sdt>
            <w:sdtPr>
              <w:alias w:val="Further reading"/>
              <w:tag w:val="furtherReading"/>
              <w:id w:val="-1516217107"/>
              <w:placeholder>
                <w:docPart w:val="8AA2DFD85274274A9B01C6D9A25B461F"/>
              </w:placeholder>
            </w:sdtPr>
            <w:sdtEndPr/>
            <w:sdtContent>
              <w:p w14:paraId="342080B2" w14:textId="77777777" w:rsidR="00847F9B" w:rsidRPr="00847F9B" w:rsidRDefault="00847F9B" w:rsidP="00F40587"/>
              <w:p w14:paraId="5DF5EB61" w14:textId="77777777" w:rsidR="00847F9B" w:rsidRPr="00847F9B" w:rsidRDefault="00F40587" w:rsidP="00F40587">
                <w:sdt>
                  <w:sdtPr>
                    <w:id w:val="-456343886"/>
                    <w:citation/>
                  </w:sdtPr>
                  <w:sdtEndPr/>
                  <w:sdtContent>
                    <w:r w:rsidR="00847F9B" w:rsidRPr="00847F9B">
                      <w:fldChar w:fldCharType="begin"/>
                    </w:r>
                    <w:r w:rsidR="00847F9B" w:rsidRPr="00847F9B">
                      <w:rPr>
                        <w:lang w:val="en-US"/>
                      </w:rPr>
                      <w:instrText xml:space="preserve"> CITATION Bon32 \l 1033 </w:instrText>
                    </w:r>
                    <w:r w:rsidR="00847F9B" w:rsidRPr="00847F9B">
                      <w:fldChar w:fldCharType="separate"/>
                    </w:r>
                    <w:r w:rsidR="00847F9B" w:rsidRPr="00847F9B">
                      <w:rPr>
                        <w:noProof/>
                        <w:lang w:val="en-US"/>
                      </w:rPr>
                      <w:t>(Bonn)</w:t>
                    </w:r>
                    <w:r w:rsidR="00847F9B" w:rsidRPr="00847F9B">
                      <w:fldChar w:fldCharType="end"/>
                    </w:r>
                  </w:sdtContent>
                </w:sdt>
              </w:p>
              <w:p w14:paraId="3E53C35A" w14:textId="77777777" w:rsidR="00847F9B" w:rsidRPr="00847F9B" w:rsidRDefault="00847F9B" w:rsidP="00F40587"/>
              <w:p w14:paraId="2E7A28BE" w14:textId="77777777" w:rsidR="00847F9B" w:rsidRPr="00847F9B" w:rsidRDefault="00F40587" w:rsidP="00F40587">
                <w:sdt>
                  <w:sdtPr>
                    <w:id w:val="-2066102962"/>
                    <w:citation/>
                  </w:sdtPr>
                  <w:sdtEndPr/>
                  <w:sdtContent>
                    <w:r w:rsidR="00847F9B" w:rsidRPr="00847F9B">
                      <w:fldChar w:fldCharType="begin"/>
                    </w:r>
                    <w:r w:rsidR="00847F9B" w:rsidRPr="00847F9B">
                      <w:rPr>
                        <w:lang w:val="en-US"/>
                      </w:rPr>
                      <w:instrText xml:space="preserve">CITATION Bre \l 1033 </w:instrText>
                    </w:r>
                    <w:r w:rsidR="00847F9B" w:rsidRPr="00847F9B">
                      <w:fldChar w:fldCharType="separate"/>
                    </w:r>
                    <w:r w:rsidR="00847F9B" w:rsidRPr="00847F9B">
                      <w:rPr>
                        <w:noProof/>
                        <w:lang w:val="en-US"/>
                      </w:rPr>
                      <w:t>(Brecht)</w:t>
                    </w:r>
                    <w:r w:rsidR="00847F9B" w:rsidRPr="00847F9B">
                      <w:fldChar w:fldCharType="end"/>
                    </w:r>
                  </w:sdtContent>
                </w:sdt>
              </w:p>
              <w:p w14:paraId="1F79BAB8" w14:textId="77777777" w:rsidR="00847F9B" w:rsidRPr="00847F9B" w:rsidRDefault="00847F9B" w:rsidP="00F40587"/>
              <w:p w14:paraId="1BFCF971" w14:textId="77777777" w:rsidR="00847F9B" w:rsidRPr="00847F9B" w:rsidRDefault="00F40587" w:rsidP="00F40587">
                <w:sdt>
                  <w:sdtPr>
                    <w:id w:val="-1900361160"/>
                    <w:citation/>
                  </w:sdtPr>
                  <w:sdtEndPr/>
                  <w:sdtContent>
                    <w:r w:rsidR="00847F9B" w:rsidRPr="00847F9B">
                      <w:fldChar w:fldCharType="begin"/>
                    </w:r>
                    <w:r w:rsidR="00847F9B" w:rsidRPr="00847F9B">
                      <w:rPr>
                        <w:lang w:val="en-US"/>
                      </w:rPr>
                      <w:instrText xml:space="preserve"> CITATION Lev85 \l 1033 </w:instrText>
                    </w:r>
                    <w:r w:rsidR="00847F9B" w:rsidRPr="00847F9B">
                      <w:fldChar w:fldCharType="separate"/>
                    </w:r>
                    <w:r w:rsidR="00847F9B" w:rsidRPr="00847F9B">
                      <w:rPr>
                        <w:noProof/>
                        <w:lang w:val="en-US"/>
                      </w:rPr>
                      <w:t>(Levine)</w:t>
                    </w:r>
                    <w:r w:rsidR="00847F9B" w:rsidRPr="00847F9B">
                      <w:fldChar w:fldCharType="end"/>
                    </w:r>
                  </w:sdtContent>
                </w:sdt>
              </w:p>
              <w:p w14:paraId="52FA1A4C" w14:textId="77777777" w:rsidR="00847F9B" w:rsidRPr="00847F9B" w:rsidRDefault="00847F9B" w:rsidP="00F40587"/>
              <w:p w14:paraId="5FCFC2EE" w14:textId="77777777" w:rsidR="00847F9B" w:rsidRPr="00847F9B" w:rsidRDefault="00F40587" w:rsidP="00F40587">
                <w:sdt>
                  <w:sdtPr>
                    <w:id w:val="-526943091"/>
                    <w:citation/>
                  </w:sdtPr>
                  <w:sdtEndPr/>
                  <w:sdtContent>
                    <w:r w:rsidR="00847F9B" w:rsidRPr="00847F9B">
                      <w:fldChar w:fldCharType="begin"/>
                    </w:r>
                    <w:r w:rsidR="00847F9B" w:rsidRPr="00847F9B">
                      <w:rPr>
                        <w:lang w:val="en-US"/>
                      </w:rPr>
                      <w:instrText xml:space="preserve"> CITATION End76 \l 1033 </w:instrText>
                    </w:r>
                    <w:r w:rsidR="00847F9B" w:rsidRPr="00847F9B">
                      <w:fldChar w:fldCharType="separate"/>
                    </w:r>
                    <w:r w:rsidR="00847F9B" w:rsidRPr="00847F9B">
                      <w:rPr>
                        <w:noProof/>
                        <w:lang w:val="en-US"/>
                      </w:rPr>
                      <w:t>(Endres and Wright)</w:t>
                    </w:r>
                    <w:r w:rsidR="00847F9B" w:rsidRPr="00847F9B">
                      <w:fldChar w:fldCharType="end"/>
                    </w:r>
                  </w:sdtContent>
                </w:sdt>
              </w:p>
              <w:p w14:paraId="4075FED3" w14:textId="77777777" w:rsidR="00847F9B" w:rsidRPr="00847F9B" w:rsidRDefault="00847F9B" w:rsidP="00F40587"/>
              <w:p w14:paraId="09BDC0BE" w14:textId="77777777" w:rsidR="00847F9B" w:rsidRPr="00847F9B" w:rsidRDefault="00F40587" w:rsidP="00F40587">
                <w:sdt>
                  <w:sdtPr>
                    <w:id w:val="-1515447497"/>
                    <w:citation/>
                  </w:sdtPr>
                  <w:sdtEndPr/>
                  <w:sdtContent>
                    <w:r w:rsidR="00847F9B" w:rsidRPr="00847F9B">
                      <w:fldChar w:fldCharType="begin"/>
                    </w:r>
                    <w:r w:rsidR="00847F9B" w:rsidRPr="00847F9B">
                      <w:rPr>
                        <w:lang w:val="en-US"/>
                      </w:rPr>
                      <w:instrText xml:space="preserve"> CITATION Mac90 \l 1033 </w:instrText>
                    </w:r>
                    <w:r w:rsidR="00847F9B" w:rsidRPr="00847F9B">
                      <w:fldChar w:fldCharType="separate"/>
                    </w:r>
                    <w:r w:rsidR="00847F9B" w:rsidRPr="00847F9B">
                      <w:rPr>
                        <w:noProof/>
                        <w:lang w:val="en-US"/>
                      </w:rPr>
                      <w:t>(MacColl)</w:t>
                    </w:r>
                    <w:r w:rsidR="00847F9B" w:rsidRPr="00847F9B">
                      <w:fldChar w:fldCharType="end"/>
                    </w:r>
                  </w:sdtContent>
                </w:sdt>
              </w:p>
              <w:p w14:paraId="4F97F591" w14:textId="77777777" w:rsidR="00847F9B" w:rsidRPr="00847F9B" w:rsidRDefault="00847F9B" w:rsidP="00F40587"/>
              <w:p w14:paraId="13B48C87" w14:textId="77777777" w:rsidR="00847F9B" w:rsidRPr="00847F9B" w:rsidRDefault="00F40587" w:rsidP="00F40587">
                <w:sdt>
                  <w:sdtPr>
                    <w:id w:val="-585072462"/>
                    <w:citation/>
                  </w:sdtPr>
                  <w:sdtEndPr/>
                  <w:sdtContent>
                    <w:r w:rsidR="00847F9B" w:rsidRPr="00847F9B">
                      <w:fldChar w:fldCharType="begin"/>
                    </w:r>
                    <w:r w:rsidR="00847F9B" w:rsidRPr="00847F9B">
                      <w:rPr>
                        <w:lang w:val="en-US"/>
                      </w:rPr>
                      <w:instrText xml:space="preserve">CITATION Sax \l 1033 </w:instrText>
                    </w:r>
                    <w:r w:rsidR="00847F9B" w:rsidRPr="00847F9B">
                      <w:fldChar w:fldCharType="separate"/>
                    </w:r>
                    <w:r w:rsidR="00847F9B" w:rsidRPr="00847F9B">
                      <w:rPr>
                        <w:noProof/>
                        <w:lang w:val="en-US"/>
                      </w:rPr>
                      <w:t>(Saxe)</w:t>
                    </w:r>
                    <w:r w:rsidR="00847F9B" w:rsidRPr="00847F9B">
                      <w:fldChar w:fldCharType="end"/>
                    </w:r>
                  </w:sdtContent>
                </w:sdt>
              </w:p>
              <w:p w14:paraId="107FCA26" w14:textId="77777777" w:rsidR="00847F9B" w:rsidRPr="00847F9B" w:rsidRDefault="00847F9B" w:rsidP="00F40587"/>
              <w:p w14:paraId="117AC2A3" w14:textId="77777777" w:rsidR="003235A7" w:rsidRPr="00847F9B" w:rsidRDefault="00F40587" w:rsidP="00F40587">
                <w:sdt>
                  <w:sdtPr>
                    <w:id w:val="-2144792657"/>
                    <w:citation/>
                  </w:sdtPr>
                  <w:sdtEndPr/>
                  <w:sdtContent>
                    <w:r w:rsidR="00847F9B" w:rsidRPr="00847F9B">
                      <w:fldChar w:fldCharType="begin"/>
                    </w:r>
                    <w:r w:rsidR="00847F9B" w:rsidRPr="00847F9B">
                      <w:rPr>
                        <w:lang w:val="en-US"/>
                      </w:rPr>
                      <w:instrText xml:space="preserve"> CITATION Sto86 \l 1033 </w:instrText>
                    </w:r>
                    <w:r w:rsidR="00847F9B" w:rsidRPr="00847F9B">
                      <w:fldChar w:fldCharType="separate"/>
                    </w:r>
                    <w:r w:rsidR="00847F9B" w:rsidRPr="00847F9B">
                      <w:rPr>
                        <w:noProof/>
                        <w:lang w:val="en-US"/>
                      </w:rPr>
                      <w:t>(Stourac and McCree</w:t>
                    </w:r>
                    <w:bookmarkStart w:id="0" w:name="_GoBack"/>
                    <w:bookmarkEnd w:id="0"/>
                    <w:r w:rsidR="00847F9B" w:rsidRPr="00847F9B">
                      <w:rPr>
                        <w:noProof/>
                        <w:lang w:val="en-US"/>
                      </w:rPr>
                      <w:t>ry)</w:t>
                    </w:r>
                    <w:r w:rsidR="00847F9B" w:rsidRPr="00847F9B">
                      <w:fldChar w:fldCharType="end"/>
                    </w:r>
                  </w:sdtContent>
                </w:sdt>
              </w:p>
            </w:sdtContent>
          </w:sdt>
        </w:tc>
      </w:tr>
    </w:tbl>
    <w:p w14:paraId="16058730" w14:textId="77777777" w:rsidR="00C27FAB" w:rsidRPr="00847F9B" w:rsidRDefault="00C27FAB" w:rsidP="00DF3449">
      <w:pPr>
        <w:pStyle w:val="Caption"/>
        <w:rPr>
          <w:sz w:val="24"/>
          <w:szCs w:val="24"/>
        </w:rPr>
      </w:pPr>
    </w:p>
    <w:sectPr w:rsidR="00C27FAB" w:rsidRPr="00847F9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1EB56" w14:textId="77777777" w:rsidR="00847F9B" w:rsidRDefault="00847F9B" w:rsidP="007A0D55">
      <w:pPr>
        <w:spacing w:after="0" w:line="240" w:lineRule="auto"/>
      </w:pPr>
      <w:r>
        <w:separator/>
      </w:r>
    </w:p>
  </w:endnote>
  <w:endnote w:type="continuationSeparator" w:id="0">
    <w:p w14:paraId="2E7FEB44" w14:textId="77777777" w:rsidR="00847F9B" w:rsidRDefault="00847F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ACF99" w14:textId="77777777" w:rsidR="00847F9B" w:rsidRDefault="00847F9B" w:rsidP="007A0D55">
      <w:pPr>
        <w:spacing w:after="0" w:line="240" w:lineRule="auto"/>
      </w:pPr>
      <w:r>
        <w:separator/>
      </w:r>
    </w:p>
  </w:footnote>
  <w:footnote w:type="continuationSeparator" w:id="0">
    <w:p w14:paraId="3C1F54A6" w14:textId="77777777" w:rsidR="00847F9B" w:rsidRDefault="00847F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6615C" w14:textId="77777777" w:rsidR="00847F9B" w:rsidRDefault="00847F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41B9E6" w14:textId="77777777" w:rsidR="00847F9B" w:rsidRDefault="00847F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47F9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3449"/>
    <w:rsid w:val="00E85A05"/>
    <w:rsid w:val="00E95829"/>
    <w:rsid w:val="00EA606C"/>
    <w:rsid w:val="00EB0C8C"/>
    <w:rsid w:val="00EB51FD"/>
    <w:rsid w:val="00EB77DB"/>
    <w:rsid w:val="00ED139F"/>
    <w:rsid w:val="00EF74F7"/>
    <w:rsid w:val="00F36937"/>
    <w:rsid w:val="00F4058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B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7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F9B"/>
    <w:rPr>
      <w:rFonts w:ascii="Lucida Grande" w:hAnsi="Lucida Grande" w:cs="Lucida Grande"/>
      <w:sz w:val="18"/>
      <w:szCs w:val="18"/>
    </w:rPr>
  </w:style>
  <w:style w:type="character" w:styleId="CommentReference">
    <w:name w:val="annotation reference"/>
    <w:uiPriority w:val="99"/>
    <w:semiHidden/>
    <w:unhideWhenUsed/>
    <w:rsid w:val="00847F9B"/>
    <w:rPr>
      <w:sz w:val="16"/>
      <w:szCs w:val="16"/>
    </w:rPr>
  </w:style>
  <w:style w:type="paragraph" w:styleId="CommentText">
    <w:name w:val="annotation text"/>
    <w:basedOn w:val="Normal"/>
    <w:link w:val="CommentTextChar"/>
    <w:uiPriority w:val="99"/>
    <w:semiHidden/>
    <w:unhideWhenUsed/>
    <w:rsid w:val="00847F9B"/>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847F9B"/>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DF3449"/>
    <w:pPr>
      <w:spacing w:after="200" w:line="240" w:lineRule="auto"/>
    </w:pPr>
    <w:rPr>
      <w:b/>
      <w:bCs/>
      <w:color w:val="5B9BD5" w:themeColor="accent1"/>
      <w:sz w:val="18"/>
      <w:szCs w:val="18"/>
    </w:rPr>
  </w:style>
  <w:style w:type="character" w:styleId="Hyperlink">
    <w:name w:val="Hyperlink"/>
    <w:uiPriority w:val="99"/>
    <w:unhideWhenUsed/>
    <w:rsid w:val="00DF344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7F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F9B"/>
    <w:rPr>
      <w:rFonts w:ascii="Lucida Grande" w:hAnsi="Lucida Grande" w:cs="Lucida Grande"/>
      <w:sz w:val="18"/>
      <w:szCs w:val="18"/>
    </w:rPr>
  </w:style>
  <w:style w:type="character" w:styleId="CommentReference">
    <w:name w:val="annotation reference"/>
    <w:uiPriority w:val="99"/>
    <w:semiHidden/>
    <w:unhideWhenUsed/>
    <w:rsid w:val="00847F9B"/>
    <w:rPr>
      <w:sz w:val="16"/>
      <w:szCs w:val="16"/>
    </w:rPr>
  </w:style>
  <w:style w:type="paragraph" w:styleId="CommentText">
    <w:name w:val="annotation text"/>
    <w:basedOn w:val="Normal"/>
    <w:link w:val="CommentTextChar"/>
    <w:uiPriority w:val="99"/>
    <w:semiHidden/>
    <w:unhideWhenUsed/>
    <w:rsid w:val="00847F9B"/>
    <w:pPr>
      <w:spacing w:after="0" w:line="240" w:lineRule="auto"/>
    </w:pPr>
    <w:rPr>
      <w:rFonts w:ascii="Times New Roman" w:eastAsia="Times New Roman" w:hAnsi="Times New Roman" w:cs="Times New Roman"/>
      <w:sz w:val="20"/>
      <w:szCs w:val="20"/>
      <w:lang w:val="x-none" w:eastAsia="x-none"/>
    </w:rPr>
  </w:style>
  <w:style w:type="character" w:customStyle="1" w:styleId="CommentTextChar">
    <w:name w:val="Comment Text Char"/>
    <w:basedOn w:val="DefaultParagraphFont"/>
    <w:link w:val="CommentText"/>
    <w:uiPriority w:val="99"/>
    <w:semiHidden/>
    <w:rsid w:val="00847F9B"/>
    <w:rPr>
      <w:rFonts w:ascii="Times New Roman" w:eastAsia="Times New Roman" w:hAnsi="Times New Roman" w:cs="Times New Roman"/>
      <w:sz w:val="20"/>
      <w:szCs w:val="20"/>
      <w:lang w:val="x-none" w:eastAsia="x-none"/>
    </w:rPr>
  </w:style>
  <w:style w:type="paragraph" w:styleId="Caption">
    <w:name w:val="caption"/>
    <w:basedOn w:val="Normal"/>
    <w:next w:val="Normal"/>
    <w:uiPriority w:val="35"/>
    <w:semiHidden/>
    <w:qFormat/>
    <w:rsid w:val="00DF3449"/>
    <w:pPr>
      <w:spacing w:after="200" w:line="240" w:lineRule="auto"/>
    </w:pPr>
    <w:rPr>
      <w:b/>
      <w:bCs/>
      <w:color w:val="5B9BD5" w:themeColor="accent1"/>
      <w:sz w:val="18"/>
      <w:szCs w:val="18"/>
    </w:rPr>
  </w:style>
  <w:style w:type="character" w:styleId="Hyperlink">
    <w:name w:val="Hyperlink"/>
    <w:uiPriority w:val="99"/>
    <w:unhideWhenUsed/>
    <w:rsid w:val="00DF3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18AC6BFB069A41B32CF9D22FF9DE80"/>
        <w:category>
          <w:name w:val="General"/>
          <w:gallery w:val="placeholder"/>
        </w:category>
        <w:types>
          <w:type w:val="bbPlcHdr"/>
        </w:types>
        <w:behaviors>
          <w:behavior w:val="content"/>
        </w:behaviors>
        <w:guid w:val="{550B7736-D2F7-9E47-ABB5-BBFB1E65FA31}"/>
      </w:docPartPr>
      <w:docPartBody>
        <w:p w:rsidR="005007BC" w:rsidRDefault="005007BC">
          <w:pPr>
            <w:pStyle w:val="F118AC6BFB069A41B32CF9D22FF9DE80"/>
          </w:pPr>
          <w:r w:rsidRPr="00CC586D">
            <w:rPr>
              <w:rStyle w:val="PlaceholderText"/>
              <w:b/>
              <w:color w:val="FFFFFF" w:themeColor="background1"/>
            </w:rPr>
            <w:t>[Salutation]</w:t>
          </w:r>
        </w:p>
      </w:docPartBody>
    </w:docPart>
    <w:docPart>
      <w:docPartPr>
        <w:name w:val="A3FCE32ADEC253439E34C0E9226312AD"/>
        <w:category>
          <w:name w:val="General"/>
          <w:gallery w:val="placeholder"/>
        </w:category>
        <w:types>
          <w:type w:val="bbPlcHdr"/>
        </w:types>
        <w:behaviors>
          <w:behavior w:val="content"/>
        </w:behaviors>
        <w:guid w:val="{E2366AD8-64B6-1642-8B6B-0FD8CEA8E39B}"/>
      </w:docPartPr>
      <w:docPartBody>
        <w:p w:rsidR="005007BC" w:rsidRDefault="005007BC">
          <w:pPr>
            <w:pStyle w:val="A3FCE32ADEC253439E34C0E9226312AD"/>
          </w:pPr>
          <w:r>
            <w:rPr>
              <w:rStyle w:val="PlaceholderText"/>
            </w:rPr>
            <w:t>[First name]</w:t>
          </w:r>
        </w:p>
      </w:docPartBody>
    </w:docPart>
    <w:docPart>
      <w:docPartPr>
        <w:name w:val="8AFFD57800D02B4EB69AB0DB3F8613FE"/>
        <w:category>
          <w:name w:val="General"/>
          <w:gallery w:val="placeholder"/>
        </w:category>
        <w:types>
          <w:type w:val="bbPlcHdr"/>
        </w:types>
        <w:behaviors>
          <w:behavior w:val="content"/>
        </w:behaviors>
        <w:guid w:val="{26032D3C-4A68-B844-B37A-36519386FAD9}"/>
      </w:docPartPr>
      <w:docPartBody>
        <w:p w:rsidR="005007BC" w:rsidRDefault="005007BC">
          <w:pPr>
            <w:pStyle w:val="8AFFD57800D02B4EB69AB0DB3F8613FE"/>
          </w:pPr>
          <w:r>
            <w:rPr>
              <w:rStyle w:val="PlaceholderText"/>
            </w:rPr>
            <w:t>[Middle name]</w:t>
          </w:r>
        </w:p>
      </w:docPartBody>
    </w:docPart>
    <w:docPart>
      <w:docPartPr>
        <w:name w:val="A9F66EBEFAA5674BAC4806DEDF9D68BF"/>
        <w:category>
          <w:name w:val="General"/>
          <w:gallery w:val="placeholder"/>
        </w:category>
        <w:types>
          <w:type w:val="bbPlcHdr"/>
        </w:types>
        <w:behaviors>
          <w:behavior w:val="content"/>
        </w:behaviors>
        <w:guid w:val="{4479B6F1-EA2B-474E-BA23-78089159EF13}"/>
      </w:docPartPr>
      <w:docPartBody>
        <w:p w:rsidR="005007BC" w:rsidRDefault="005007BC">
          <w:pPr>
            <w:pStyle w:val="A9F66EBEFAA5674BAC4806DEDF9D68BF"/>
          </w:pPr>
          <w:r>
            <w:rPr>
              <w:rStyle w:val="PlaceholderText"/>
            </w:rPr>
            <w:t>[Last name]</w:t>
          </w:r>
        </w:p>
      </w:docPartBody>
    </w:docPart>
    <w:docPart>
      <w:docPartPr>
        <w:name w:val="87EBC7033017064BABF2EBB00311723D"/>
        <w:category>
          <w:name w:val="General"/>
          <w:gallery w:val="placeholder"/>
        </w:category>
        <w:types>
          <w:type w:val="bbPlcHdr"/>
        </w:types>
        <w:behaviors>
          <w:behavior w:val="content"/>
        </w:behaviors>
        <w:guid w:val="{55034851-0B6A-494F-8ECC-9B48F559AE50}"/>
      </w:docPartPr>
      <w:docPartBody>
        <w:p w:rsidR="005007BC" w:rsidRDefault="005007BC">
          <w:pPr>
            <w:pStyle w:val="87EBC7033017064BABF2EBB00311723D"/>
          </w:pPr>
          <w:r>
            <w:rPr>
              <w:rStyle w:val="PlaceholderText"/>
            </w:rPr>
            <w:t>[Enter your biography]</w:t>
          </w:r>
        </w:p>
      </w:docPartBody>
    </w:docPart>
    <w:docPart>
      <w:docPartPr>
        <w:name w:val="308AD37B40C7B344BD21E021E1D1C09B"/>
        <w:category>
          <w:name w:val="General"/>
          <w:gallery w:val="placeholder"/>
        </w:category>
        <w:types>
          <w:type w:val="bbPlcHdr"/>
        </w:types>
        <w:behaviors>
          <w:behavior w:val="content"/>
        </w:behaviors>
        <w:guid w:val="{1FA0C8B5-8182-2047-83F9-27765906939D}"/>
      </w:docPartPr>
      <w:docPartBody>
        <w:p w:rsidR="005007BC" w:rsidRDefault="005007BC">
          <w:pPr>
            <w:pStyle w:val="308AD37B40C7B344BD21E021E1D1C09B"/>
          </w:pPr>
          <w:r>
            <w:rPr>
              <w:rStyle w:val="PlaceholderText"/>
            </w:rPr>
            <w:t>[Enter the institution with which you are affiliated]</w:t>
          </w:r>
        </w:p>
      </w:docPartBody>
    </w:docPart>
    <w:docPart>
      <w:docPartPr>
        <w:name w:val="E7A41CB5452AAF4C9F10C342FC0FB8F3"/>
        <w:category>
          <w:name w:val="General"/>
          <w:gallery w:val="placeholder"/>
        </w:category>
        <w:types>
          <w:type w:val="bbPlcHdr"/>
        </w:types>
        <w:behaviors>
          <w:behavior w:val="content"/>
        </w:behaviors>
        <w:guid w:val="{9EBE0AD9-A8E9-EA4A-8EAE-C20100ECB32E}"/>
      </w:docPartPr>
      <w:docPartBody>
        <w:p w:rsidR="005007BC" w:rsidRDefault="005007BC">
          <w:pPr>
            <w:pStyle w:val="E7A41CB5452AAF4C9F10C342FC0FB8F3"/>
          </w:pPr>
          <w:r w:rsidRPr="00EF74F7">
            <w:rPr>
              <w:b/>
              <w:color w:val="808080" w:themeColor="background1" w:themeShade="80"/>
            </w:rPr>
            <w:t>[Enter the headword for your article]</w:t>
          </w:r>
        </w:p>
      </w:docPartBody>
    </w:docPart>
    <w:docPart>
      <w:docPartPr>
        <w:name w:val="85A006225BC4B64889B7345DDCBBE16A"/>
        <w:category>
          <w:name w:val="General"/>
          <w:gallery w:val="placeholder"/>
        </w:category>
        <w:types>
          <w:type w:val="bbPlcHdr"/>
        </w:types>
        <w:behaviors>
          <w:behavior w:val="content"/>
        </w:behaviors>
        <w:guid w:val="{8A95F34C-CC93-7546-A085-0206F2B17ED4}"/>
      </w:docPartPr>
      <w:docPartBody>
        <w:p w:rsidR="005007BC" w:rsidRDefault="005007BC">
          <w:pPr>
            <w:pStyle w:val="85A006225BC4B64889B7345DDCBBE1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DA7149788BB148AB8E7ADD32CAE835"/>
        <w:category>
          <w:name w:val="General"/>
          <w:gallery w:val="placeholder"/>
        </w:category>
        <w:types>
          <w:type w:val="bbPlcHdr"/>
        </w:types>
        <w:behaviors>
          <w:behavior w:val="content"/>
        </w:behaviors>
        <w:guid w:val="{D2989FE6-69EA-E94E-9992-DB9D6BFF79AE}"/>
      </w:docPartPr>
      <w:docPartBody>
        <w:p w:rsidR="005007BC" w:rsidRDefault="005007BC">
          <w:pPr>
            <w:pStyle w:val="98DA7149788BB148AB8E7ADD32CAE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09B7E21A1FBA4CAE6645A0CC3A0269"/>
        <w:category>
          <w:name w:val="General"/>
          <w:gallery w:val="placeholder"/>
        </w:category>
        <w:types>
          <w:type w:val="bbPlcHdr"/>
        </w:types>
        <w:behaviors>
          <w:behavior w:val="content"/>
        </w:behaviors>
        <w:guid w:val="{1AA05E4F-CF4D-6849-B628-441EB48C5E48}"/>
      </w:docPartPr>
      <w:docPartBody>
        <w:p w:rsidR="005007BC" w:rsidRDefault="005007BC">
          <w:pPr>
            <w:pStyle w:val="B509B7E21A1FBA4CAE6645A0CC3A02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A2DFD85274274A9B01C6D9A25B461F"/>
        <w:category>
          <w:name w:val="General"/>
          <w:gallery w:val="placeholder"/>
        </w:category>
        <w:types>
          <w:type w:val="bbPlcHdr"/>
        </w:types>
        <w:behaviors>
          <w:behavior w:val="content"/>
        </w:behaviors>
        <w:guid w:val="{78C6DF37-7583-DE42-9404-D2996118028D}"/>
      </w:docPartPr>
      <w:docPartBody>
        <w:p w:rsidR="005007BC" w:rsidRDefault="005007BC">
          <w:pPr>
            <w:pStyle w:val="8AA2DFD85274274A9B01C6D9A25B46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7BC"/>
    <w:rsid w:val="005007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18AC6BFB069A41B32CF9D22FF9DE80">
    <w:name w:val="F118AC6BFB069A41B32CF9D22FF9DE80"/>
  </w:style>
  <w:style w:type="paragraph" w:customStyle="1" w:styleId="A3FCE32ADEC253439E34C0E9226312AD">
    <w:name w:val="A3FCE32ADEC253439E34C0E9226312AD"/>
  </w:style>
  <w:style w:type="paragraph" w:customStyle="1" w:styleId="8AFFD57800D02B4EB69AB0DB3F8613FE">
    <w:name w:val="8AFFD57800D02B4EB69AB0DB3F8613FE"/>
  </w:style>
  <w:style w:type="paragraph" w:customStyle="1" w:styleId="A9F66EBEFAA5674BAC4806DEDF9D68BF">
    <w:name w:val="A9F66EBEFAA5674BAC4806DEDF9D68BF"/>
  </w:style>
  <w:style w:type="paragraph" w:customStyle="1" w:styleId="87EBC7033017064BABF2EBB00311723D">
    <w:name w:val="87EBC7033017064BABF2EBB00311723D"/>
  </w:style>
  <w:style w:type="paragraph" w:customStyle="1" w:styleId="308AD37B40C7B344BD21E021E1D1C09B">
    <w:name w:val="308AD37B40C7B344BD21E021E1D1C09B"/>
  </w:style>
  <w:style w:type="paragraph" w:customStyle="1" w:styleId="E7A41CB5452AAF4C9F10C342FC0FB8F3">
    <w:name w:val="E7A41CB5452AAF4C9F10C342FC0FB8F3"/>
  </w:style>
  <w:style w:type="paragraph" w:customStyle="1" w:styleId="85A006225BC4B64889B7345DDCBBE16A">
    <w:name w:val="85A006225BC4B64889B7345DDCBBE16A"/>
  </w:style>
  <w:style w:type="paragraph" w:customStyle="1" w:styleId="98DA7149788BB148AB8E7ADD32CAE835">
    <w:name w:val="98DA7149788BB148AB8E7ADD32CAE835"/>
  </w:style>
  <w:style w:type="paragraph" w:customStyle="1" w:styleId="B509B7E21A1FBA4CAE6645A0CC3A0269">
    <w:name w:val="B509B7E21A1FBA4CAE6645A0CC3A0269"/>
  </w:style>
  <w:style w:type="paragraph" w:customStyle="1" w:styleId="8AA2DFD85274274A9B01C6D9A25B461F">
    <w:name w:val="8AA2DFD85274274A9B01C6D9A25B46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18AC6BFB069A41B32CF9D22FF9DE80">
    <w:name w:val="F118AC6BFB069A41B32CF9D22FF9DE80"/>
  </w:style>
  <w:style w:type="paragraph" w:customStyle="1" w:styleId="A3FCE32ADEC253439E34C0E9226312AD">
    <w:name w:val="A3FCE32ADEC253439E34C0E9226312AD"/>
  </w:style>
  <w:style w:type="paragraph" w:customStyle="1" w:styleId="8AFFD57800D02B4EB69AB0DB3F8613FE">
    <w:name w:val="8AFFD57800D02B4EB69AB0DB3F8613FE"/>
  </w:style>
  <w:style w:type="paragraph" w:customStyle="1" w:styleId="A9F66EBEFAA5674BAC4806DEDF9D68BF">
    <w:name w:val="A9F66EBEFAA5674BAC4806DEDF9D68BF"/>
  </w:style>
  <w:style w:type="paragraph" w:customStyle="1" w:styleId="87EBC7033017064BABF2EBB00311723D">
    <w:name w:val="87EBC7033017064BABF2EBB00311723D"/>
  </w:style>
  <w:style w:type="paragraph" w:customStyle="1" w:styleId="308AD37B40C7B344BD21E021E1D1C09B">
    <w:name w:val="308AD37B40C7B344BD21E021E1D1C09B"/>
  </w:style>
  <w:style w:type="paragraph" w:customStyle="1" w:styleId="E7A41CB5452AAF4C9F10C342FC0FB8F3">
    <w:name w:val="E7A41CB5452AAF4C9F10C342FC0FB8F3"/>
  </w:style>
  <w:style w:type="paragraph" w:customStyle="1" w:styleId="85A006225BC4B64889B7345DDCBBE16A">
    <w:name w:val="85A006225BC4B64889B7345DDCBBE16A"/>
  </w:style>
  <w:style w:type="paragraph" w:customStyle="1" w:styleId="98DA7149788BB148AB8E7ADD32CAE835">
    <w:name w:val="98DA7149788BB148AB8E7ADD32CAE835"/>
  </w:style>
  <w:style w:type="paragraph" w:customStyle="1" w:styleId="B509B7E21A1FBA4CAE6645A0CC3A0269">
    <w:name w:val="B509B7E21A1FBA4CAE6645A0CC3A0269"/>
  </w:style>
  <w:style w:type="paragraph" w:customStyle="1" w:styleId="8AA2DFD85274274A9B01C6D9A25B461F">
    <w:name w:val="8AA2DFD85274274A9B01C6D9A25B46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Bon32</b:Tag>
    <b:SourceType>JournalArticle</b:SourceType>
    <b:Guid>{9869E9DC-E1C8-EE45-967F-6BCF1E9449F6}</b:Guid>
    <b:Title>Situation and Tasks of the Workers Theatre in the U.S.A.</b:Title>
    <b:Year>1932</b:Year>
    <b:Volume>8</b:Volume>
    <b:Author>
      <b:Author>
        <b:NameList>
          <b:Person>
            <b:Last>Bonn</b:Last>
            <b:First>John</b:First>
          </b:Person>
        </b:NameList>
      </b:Author>
    </b:Author>
    <b:JournalName>Workers Theatre</b:JournalName>
    <b:Month>June-July</b:Month>
    <b:RefOrder>1</b:RefOrder>
  </b:Source>
  <b:Source>
    <b:Tag>Bre</b:Tag>
    <b:SourceType>Book</b:SourceType>
    <b:Guid>{719B09D6-263A-B845-BC99-2D5D898ACAE9}</b:Guid>
    <b:Publisher>Methuen</b:Publisher>
    <b:City>London</b:City>
    <b:Author>
      <b:Author>
        <b:NameList>
          <b:Person>
            <b:Last>Brecht</b:Last>
            <b:First>Bertolt</b:First>
          </b:Person>
        </b:NameList>
      </b:Author>
      <b:Editor>
        <b:NameList>
          <b:Person>
            <b:Last>Willett</b:Last>
            <b:First>John</b:First>
          </b:Person>
        </b:NameList>
      </b:Editor>
      <b:Translator>
        <b:NameList>
          <b:Person>
            <b:Last>Willett</b:Last>
            <b:First>John</b:First>
          </b:Person>
        </b:NameList>
      </b:Translator>
    </b:Author>
    <b:Title>The Decision [The Measures Taken], Collected Plays: Three</b:Title>
    <b:Year>1997</b:Year>
    <b:RefOrder>2</b:RefOrder>
  </b:Source>
  <b:Source>
    <b:Tag>Lev85</b:Tag>
    <b:SourceType>Book</b:SourceType>
    <b:Guid>{7FF80455-E8A6-3244-856E-152001ADB547}</b:Guid>
    <b:Author>
      <b:Author>
        <b:NameList>
          <b:Person>
            <b:Last>Levine</b:Last>
            <b:First>Ira</b:First>
            <b:Middle>A.</b:Middle>
          </b:Person>
        </b:NameList>
      </b:Author>
    </b:Author>
    <b:Title>Left-Wing Dramatic Theory in the American Theatre</b:Title>
    <b:City>Ann Arbor</b:City>
    <b:Publisher>University of Michigan</b:Publisher>
    <b:Year>1985</b:Year>
    <b:RefOrder>3</b:RefOrder>
  </b:Source>
  <b:Source>
    <b:Tag>End76</b:Tag>
    <b:SourceType>Book</b:SourceType>
    <b:Guid>{E835FA3F-AB98-0C4A-9400-CC0C996A17B2}</b:Guid>
    <b:Title>Eight Men Speak and Other Plays from the Canadian Workers’ Theatre</b:Title>
    <b:City>Toronto</b:City>
    <b:Publisher>New Hogtown</b:Publisher>
    <b:Year>1976</b:Year>
    <b:Author>
      <b:Editor>
        <b:NameList>
          <b:Person>
            <b:Last>Endres</b:Last>
            <b:First>Robin</b:First>
          </b:Person>
          <b:Person>
            <b:Last>Wright</b:Last>
            <b:First>Richard</b:First>
          </b:Person>
        </b:NameList>
      </b:Editor>
    </b:Author>
    <b:RefOrder>4</b:RefOrder>
  </b:Source>
  <b:Source>
    <b:Tag>Mac90</b:Tag>
    <b:SourceType>Book</b:SourceType>
    <b:Guid>{87B94923-76CB-A94C-9171-0837BAD160CC}</b:Guid>
    <b:Author>
      <b:Author>
        <b:NameList>
          <b:Person>
            <b:Last>MacColl</b:Last>
            <b:First>Ewan</b:First>
          </b:Person>
        </b:NameList>
      </b:Author>
    </b:Author>
    <b:Title>Journeyman: An Autobiography</b:Title>
    <b:City>London</b:City>
    <b:Publisher>Sidgwick &amp; Jackson</b:Publisher>
    <b:Year>1990</b:Year>
    <b:RefOrder>5</b:RefOrder>
  </b:Source>
  <b:Source>
    <b:Tag>Sax</b:Tag>
    <b:SourceType>BookSection</b:SourceType>
    <b:Guid>{11280127-8B55-104E-8A9C-F5CCDA2FBE0B}</b:Guid>
    <b:City>London</b:City>
    <b:Publisher>Routledge &amp; Kegan Paul</b:Publisher>
    <b:Pages>289-296</b:Pages>
    <b:Author>
      <b:Author>
        <b:NameList>
          <b:Person>
            <b:Last>Saxe</b:Last>
            <b:First>Al</b:First>
          </b:Person>
        </b:NameList>
      </b:Author>
      <b:Editor>
        <b:NameList>
          <b:Person>
            <b:Last>Samuel</b:Last>
            <b:First>Raphael</b:First>
          </b:Person>
          <b:Person>
            <b:Last>MacColl</b:Last>
            <b:First>Ewan</b:First>
          </b:Person>
          <b:Person>
            <b:Last>Cosgrove</b:Last>
            <b:First>Stuart</b:First>
          </b:Person>
        </b:NameList>
      </b:Editor>
      <b:BookAuthor>
        <b:NameList>
          <b:Person>
            <b:Last>Performance</b:Last>
            <b:First>Newsboy:</b:First>
            <b:Middle>From Script to</b:Middle>
          </b:Person>
        </b:NameList>
      </b:BookAuthor>
    </b:Author>
    <b:BookTitle>Theatres of the Left: 1888-1935; Workers’ Theatre Movements in Britain and America</b:BookTitle>
    <b:Year>[1934] 1985</b:Year>
    <b:RefOrder>6</b:RefOrder>
  </b:Source>
  <b:Source>
    <b:Tag>Sto86</b:Tag>
    <b:SourceType>Book</b:SourceType>
    <b:Guid>{3F1984B9-0F3F-E04D-96E3-C2C26DC5CD9D}</b:Guid>
    <b:Title>Theatre as a Weapon: Workers’ Theatre in the Soviet Union, Germany and Britain, 1917-1934</b:Title>
    <b:City>London</b:City>
    <b:Publisher>Routledge and Kegan Paul</b:Publisher>
    <b:Year>1986</b:Year>
    <b:Author>
      <b:Author>
        <b:NameList>
          <b:Person>
            <b:Last>Stourac</b:Last>
            <b:First>Richard</b:First>
          </b:Person>
          <b:Person>
            <b:Last>McCreery</b:Last>
            <b:First>Kathleen</b:First>
          </b:Person>
        </b:NameList>
      </b:Author>
    </b:Author>
    <b:RefOrder>7</b:RefOrder>
  </b:Source>
</b:Sources>
</file>

<file path=customXml/itemProps1.xml><?xml version="1.0" encoding="utf-8"?>
<ds:datastoreItem xmlns:ds="http://schemas.openxmlformats.org/officeDocument/2006/customXml" ds:itemID="{51B7DDDF-D084-0046-AECA-FC3F1646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1073</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2</cp:revision>
  <dcterms:created xsi:type="dcterms:W3CDTF">2016-01-07T18:34:00Z</dcterms:created>
  <dcterms:modified xsi:type="dcterms:W3CDTF">2016-02-28T00:22:00Z</dcterms:modified>
</cp:coreProperties>
</file>