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C11C2" w14:paraId="3F87115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3C0253" w14:textId="77777777" w:rsidR="00B574C9" w:rsidRPr="004C11C2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4C11C2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F25D32C7AB104E85CBBE654F85500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321826" w14:textId="77777777" w:rsidR="00B574C9" w:rsidRPr="004C11C2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4C11C2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9E776A583BE849BF89D7FC9B340FDE"/>
            </w:placeholder>
            <w:text/>
          </w:sdtPr>
          <w:sdtEndPr/>
          <w:sdtContent>
            <w:tc>
              <w:tcPr>
                <w:tcW w:w="2073" w:type="dxa"/>
              </w:tcPr>
              <w:p w14:paraId="39D53628" w14:textId="77777777" w:rsidR="00B574C9" w:rsidRPr="004C11C2" w:rsidRDefault="004C11C2" w:rsidP="004C11C2">
                <w:r w:rsidRPr="004C11C2"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433B8BD82BC84B9A18C4566706D37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8B79E4" w14:textId="77777777" w:rsidR="00B574C9" w:rsidRPr="004C11C2" w:rsidRDefault="00B574C9" w:rsidP="00922950">
                <w:r w:rsidRPr="004C11C2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D0E5B2A2238449AE438DDD85B19ACF"/>
            </w:placeholder>
            <w:text/>
          </w:sdtPr>
          <w:sdtEndPr/>
          <w:sdtContent>
            <w:tc>
              <w:tcPr>
                <w:tcW w:w="2642" w:type="dxa"/>
              </w:tcPr>
              <w:p w14:paraId="58D0061B" w14:textId="77777777" w:rsidR="00B574C9" w:rsidRPr="004C11C2" w:rsidRDefault="004C11C2" w:rsidP="004C11C2">
                <w:r w:rsidRPr="004C11C2">
                  <w:t>Fukushima</w:t>
                </w:r>
              </w:p>
            </w:tc>
          </w:sdtContent>
        </w:sdt>
      </w:tr>
      <w:tr w:rsidR="00B574C9" w:rsidRPr="004C11C2" w14:paraId="2EBE97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B07CFC" w14:textId="77777777" w:rsidR="00B574C9" w:rsidRPr="004C11C2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D0A6609C27F80479ABB28EC5EB172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B7B599" w14:textId="77777777" w:rsidR="00B574C9" w:rsidRPr="004C11C2" w:rsidRDefault="00B574C9" w:rsidP="00922950">
                <w:r w:rsidRPr="004C11C2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C11C2" w14:paraId="23FBF8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C90EDB" w14:textId="77777777" w:rsidR="00B574C9" w:rsidRPr="004C11C2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E3690B4D5A6140A112554B08D4938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C4BD375" w14:textId="77777777" w:rsidR="00B574C9" w:rsidRPr="004C11C2" w:rsidRDefault="001D6107" w:rsidP="001D6107">
                <w:r>
                  <w:t>University of Hawaii</w:t>
                </w:r>
              </w:p>
            </w:tc>
          </w:sdtContent>
        </w:sdt>
      </w:tr>
    </w:tbl>
    <w:p w14:paraId="147B639D" w14:textId="77777777" w:rsidR="003D3579" w:rsidRPr="004C11C2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C11C2" w14:paraId="6227FC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A93375" w14:textId="77777777" w:rsidR="00244BB0" w:rsidRPr="004C11C2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4C11C2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C11C2" w14:paraId="1CE2B06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A03584BA91C8B4BAAE484993398432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DE4E3" w14:textId="77777777" w:rsidR="003F0D73" w:rsidRPr="004C11C2" w:rsidRDefault="001D6107" w:rsidP="004C11C2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  <w:bCs/>
                    <w:lang w:val="en-US"/>
                  </w:rPr>
                  <w:t xml:space="preserve">Kenichi </w:t>
                </w:r>
                <w:proofErr w:type="spellStart"/>
                <w:r>
                  <w:rPr>
                    <w:rFonts w:eastAsia="Times New Roman" w:cs="Times New Roman"/>
                    <w:bCs/>
                    <w:lang w:val="en-US"/>
                  </w:rPr>
                  <w:t>Enomoto</w:t>
                </w:r>
                <w:proofErr w:type="spellEnd"/>
                <w:r>
                  <w:rPr>
                    <w:rFonts w:eastAsia="Times New Roman" w:cs="Times New Roman"/>
                    <w:bCs/>
                    <w:lang w:val="en-US"/>
                  </w:rPr>
                  <w:t xml:space="preserve"> (1904–</w:t>
                </w:r>
                <w:r w:rsidR="004C11C2" w:rsidRPr="004C11C2">
                  <w:rPr>
                    <w:rFonts w:eastAsia="Times New Roman" w:cs="Times New Roman"/>
                    <w:bCs/>
                    <w:lang w:val="en-US"/>
                  </w:rPr>
                  <w:t>1970)</w:t>
                </w:r>
              </w:p>
            </w:tc>
          </w:sdtContent>
        </w:sdt>
      </w:tr>
      <w:tr w:rsidR="00464699" w:rsidRPr="004C11C2" w14:paraId="2AC7CADA" w14:textId="77777777" w:rsidTr="007821B0">
        <w:sdt>
          <w:sdtPr>
            <w:alias w:val="Variant headwords"/>
            <w:tag w:val="variantHeadwords"/>
            <w:id w:val="173464402"/>
            <w:placeholder>
              <w:docPart w:val="7ABD7362D553754E9CDF335B124019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974F3E" w14:textId="77777777" w:rsidR="00464699" w:rsidRPr="004C11C2" w:rsidRDefault="004C11C2" w:rsidP="00464699">
                <w:proofErr w:type="spellStart"/>
                <w:r w:rsidRPr="004C11C2">
                  <w:rPr>
                    <w:rFonts w:ascii="Lantinghei SC Demibold" w:eastAsia="Times New Roman" w:hAnsi="Lantinghei SC Demibold" w:cs="Lantinghei SC Demibold"/>
                    <w:bCs/>
                    <w:lang w:val="en-US"/>
                  </w:rPr>
                  <w:t>榎</w:t>
                </w:r>
                <w:r w:rsidRPr="004C11C2">
                  <w:rPr>
                    <w:rFonts w:ascii="Baoli SC Regular" w:eastAsia="Times New Roman" w:hAnsi="Baoli SC Regular" w:cs="Baoli SC Regular"/>
                    <w:bCs/>
                    <w:lang w:val="en-US"/>
                  </w:rPr>
                  <w:t>本</w:t>
                </w:r>
                <w:proofErr w:type="spellEnd"/>
                <w:r w:rsidRPr="004C11C2">
                  <w:rPr>
                    <w:rFonts w:eastAsia="Times New Roman" w:cs="Times New Roman"/>
                    <w:bCs/>
                    <w:lang w:val="en-US"/>
                  </w:rPr>
                  <w:t xml:space="preserve"> </w:t>
                </w:r>
                <w:proofErr w:type="spellStart"/>
                <w:r w:rsidRPr="004C11C2">
                  <w:rPr>
                    <w:rFonts w:ascii="Baoli SC Regular" w:eastAsia="Times New Roman" w:hAnsi="Baoli SC Regular" w:cs="Baoli SC Regular"/>
                    <w:bCs/>
                    <w:lang w:val="en-US"/>
                  </w:rPr>
                  <w:t>健一</w:t>
                </w:r>
                <w:proofErr w:type="spellEnd"/>
              </w:p>
            </w:tc>
          </w:sdtContent>
        </w:sdt>
      </w:tr>
      <w:tr w:rsidR="00E85A05" w:rsidRPr="004C11C2" w14:paraId="0333C68F" w14:textId="77777777" w:rsidTr="003F0D73">
        <w:sdt>
          <w:sdtPr>
            <w:alias w:val="Abstract"/>
            <w:tag w:val="abstract"/>
            <w:id w:val="-635871867"/>
            <w:placeholder>
              <w:docPart w:val="698F8CFAAA0783488A5FDF740B869B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DD20E" w14:textId="77777777"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Japanese comedian, also known as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Enoken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initially created popular musical comedies in Tokyo’s downtown entertainment district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comedy style, containing elements from both Japanese and Western theatre and popular entertainment, was a product of modernism and liberalism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Taish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period (1912-1926) – the age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ero-guro-nansensu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(literally, </w:t>
                </w:r>
                <w:r w:rsidR="001D6107">
                  <w:rPr>
                    <w:rFonts w:eastAsia="Times New Roman" w:cs="Times New Roman"/>
                  </w:rPr>
                  <w:t>‘</w:t>
                </w:r>
                <w:r w:rsidRPr="004C11C2">
                  <w:rPr>
                    <w:rFonts w:eastAsia="Times New Roman" w:cs="Times New Roman"/>
                  </w:rPr>
                  <w:t>erotic, grotesque, nonsense</w:t>
                </w:r>
                <w:r w:rsidR="001D6107">
                  <w:rPr>
                    <w:rFonts w:eastAsia="Times New Roman" w:cs="Times New Roman"/>
                  </w:rPr>
                  <w:t>’</w:t>
                </w:r>
                <w:r w:rsidRPr="004C11C2">
                  <w:rPr>
                    <w:rFonts w:eastAsia="Times New Roman" w:cs="Times New Roman"/>
                  </w:rPr>
                  <w:t xml:space="preserve">), erotically charged, frightfully new and nonsensical but attractive. His musical comedy led to the birth of the current-day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wasei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>(Japanese style) musicals.</w:t>
                </w:r>
              </w:p>
              <w:p w14:paraId="06303A28" w14:textId="77777777" w:rsidR="00E85A05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Born in Tokyo,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became a student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singer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Yanagida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Teiichi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made his stage debut in 1922 as chorus member of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Negishi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Company. After the 1923 Great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Kant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Earthquake, he moved to Kyoto and played many minor roles in silent film. In 1929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returned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joined the theatre company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specializing in western style revues and variety shows. In 1930 he formed his own troupe New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comic and energetic acting and amusing and speedy dialogues, inspired by Western cabaret performance and Hollywood talkies, were introduced in novelist Kawabata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Yasunari’s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Scarlet Gang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 xml:space="preserve">serialized in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Asahi Newspaper </w:t>
                </w:r>
                <w:r w:rsidRPr="004C11C2">
                  <w:rPr>
                    <w:rFonts w:eastAsia="Times New Roman" w:cs="Times New Roman"/>
                  </w:rPr>
                  <w:t>(1929-1930) and gained high popularity.</w:t>
                </w:r>
              </w:p>
            </w:tc>
          </w:sdtContent>
        </w:sdt>
      </w:tr>
      <w:tr w:rsidR="003F0D73" w:rsidRPr="004C11C2" w14:paraId="33BBC9B4" w14:textId="77777777" w:rsidTr="003F0D73">
        <w:sdt>
          <w:sdtPr>
            <w:alias w:val="Article text"/>
            <w:tag w:val="articleText"/>
            <w:id w:val="634067588"/>
            <w:placeholder>
              <w:docPart w:val="2F932A6B1BF8A44B8DA5D8E4C0126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550E00" w14:textId="77777777"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Japanese comedian, also known as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Enoken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initially created popular musical comedies in Tokyo’s downtown entertainment district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comedy style, containing elements from both Japanese and Western theatre and popular entertainment, was a product of modernism and liberalism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Taish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period (1912-1926) – the age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ero-guro-nansensu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(literally, </w:t>
                </w:r>
                <w:r w:rsidR="001D6107">
                  <w:rPr>
                    <w:rFonts w:eastAsia="Times New Roman" w:cs="Times New Roman"/>
                  </w:rPr>
                  <w:t>‘</w:t>
                </w:r>
                <w:r w:rsidRPr="004C11C2">
                  <w:rPr>
                    <w:rFonts w:eastAsia="Times New Roman" w:cs="Times New Roman"/>
                  </w:rPr>
                  <w:t>erotic, grotesque, nonsense</w:t>
                </w:r>
                <w:r w:rsidR="001D6107">
                  <w:rPr>
                    <w:rFonts w:eastAsia="Times New Roman" w:cs="Times New Roman"/>
                  </w:rPr>
                  <w:t>’</w:t>
                </w:r>
                <w:r w:rsidRPr="004C11C2">
                  <w:rPr>
                    <w:rFonts w:eastAsia="Times New Roman" w:cs="Times New Roman"/>
                  </w:rPr>
                  <w:t xml:space="preserve">), erotically charged, frightfully new and nonsensical but attractive. His musical comedy led to the birth of the current-day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wasei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>(Japanese style) musicals.</w:t>
                </w:r>
              </w:p>
              <w:p w14:paraId="7E06FCBA" w14:textId="77777777"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Born in Tokyo,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became a student of the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singer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Yanagida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Teiichi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made his stage debut in 1922 as chorus member of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Negishi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Opera Company. After the 1923 Great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Kant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Earthquake, he moved to Kyoto and played many minor roles in silent film. In 1929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returned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joined the theatre company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specializing in western style revues and variety shows. In 1930 he formed his own troupe New Casino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Folies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His comic and energetic acting and amusing and speedy dialogues, inspired by Western cabaret performance and Hollywood talkies, were introduced in novelist Kawabata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Yasunari’s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Scarlet Gang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r w:rsidRPr="004C11C2">
                  <w:rPr>
                    <w:rFonts w:eastAsia="Times New Roman" w:cs="Times New Roman"/>
                  </w:rPr>
                  <w:t xml:space="preserve">serialized in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Asahi Newspaper </w:t>
                </w:r>
                <w:r w:rsidRPr="004C11C2">
                  <w:rPr>
                    <w:rFonts w:eastAsia="Times New Roman" w:cs="Times New Roman"/>
                  </w:rPr>
                  <w:t>(1929-1930) and gained high popularity.</w:t>
                </w:r>
              </w:p>
              <w:p w14:paraId="6D1A5D89" w14:textId="77777777" w:rsidR="004C11C2" w:rsidRPr="004C11C2" w:rsidRDefault="004C11C2" w:rsidP="004C11C2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In 1932, with over hundred actors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moved to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Sh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chikuza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the largest theatre in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produced a full scope of his musical comedies containing adaptations of Western opera and operetta and Hollywood musical comedy films (such as </w:t>
                </w:r>
                <w:r w:rsidRPr="004C11C2">
                  <w:rPr>
                    <w:rFonts w:eastAsia="Times New Roman" w:cs="Times New Roman"/>
                    <w:i/>
                  </w:rPr>
                  <w:t>Carmen</w:t>
                </w:r>
                <w:r w:rsidRPr="004C11C2">
                  <w:rPr>
                    <w:rFonts w:eastAsia="Times New Roman" w:cs="Times New Roman"/>
                  </w:rPr>
                  <w:t xml:space="preserve"> and </w:t>
                </w:r>
                <w:r w:rsidRPr="004C11C2">
                  <w:rPr>
                    <w:rFonts w:eastAsia="Times New Roman" w:cs="Times New Roman"/>
                    <w:i/>
                  </w:rPr>
                  <w:t>Rio Rita</w:t>
                </w:r>
                <w:r w:rsidRPr="004C11C2">
                  <w:rPr>
                    <w:rFonts w:eastAsia="Times New Roman" w:cs="Times New Roman"/>
                  </w:rPr>
                  <w:t xml:space="preserve">), </w:t>
                </w:r>
                <w:r w:rsidRPr="004C11C2">
                  <w:rPr>
                    <w:rFonts w:eastAsia="Times New Roman" w:cs="Times New Roman"/>
                    <w:i/>
                  </w:rPr>
                  <w:t>kabuki</w:t>
                </w:r>
                <w:r w:rsidRPr="004C11C2">
                  <w:rPr>
                    <w:rFonts w:eastAsia="Times New Roman" w:cs="Times New Roman"/>
                  </w:rPr>
                  <w:t xml:space="preserve">’s history </w:t>
                </w:r>
                <w:r w:rsidRPr="004C11C2">
                  <w:rPr>
                    <w:rFonts w:eastAsia="Times New Roman" w:cs="Times New Roman"/>
                  </w:rPr>
                  <w:lastRenderedPageBreak/>
                  <w:t xml:space="preserve">drama (such as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H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r w:rsidRPr="004C11C2">
                  <w:rPr>
                    <w:rFonts w:eastAsia="Times New Roman" w:cs="Times New Roman"/>
                    <w:i/>
                  </w:rPr>
                  <w:t>kaib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The Revenge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Togitatsu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) and the company’s original, teen situation comedies. 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Sh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chiku’s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 downtown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with Toho’s Furukawa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in Tokyo’s business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center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created the golden age of comedy in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prewar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Japan. In 1938,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company left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and began performing at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Yurakuch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near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, contracted with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h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. Joining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h</w:t>
                </w:r>
                <w:r w:rsidRPr="004C11C2">
                  <w:rPr>
                    <w:rFonts w:cs="Times New Roman"/>
                  </w:rPr>
                  <w:t>ō</w:t>
                </w:r>
                <w:r w:rsidRPr="004C11C2">
                  <w:rPr>
                    <w:rFonts w:eastAsia="Times New Roman" w:cs="Times New Roman"/>
                  </w:rPr>
                  <w:t>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 of the Nation project,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performed in </w:t>
                </w:r>
                <w:r w:rsidRPr="004C11C2">
                  <w:rPr>
                    <w:rFonts w:eastAsia="Times New Roman" w:cs="Times New Roman"/>
                    <w:i/>
                  </w:rPr>
                  <w:t>Going to the Sea God Palace</w:t>
                </w:r>
                <w:r w:rsidRPr="004C11C2">
                  <w:rPr>
                    <w:rFonts w:eastAsia="Times New Roman" w:cs="Times New Roman"/>
                  </w:rPr>
                  <w:t xml:space="preserve"> (1941) and </w:t>
                </w:r>
                <w:r w:rsidRPr="004C11C2">
                  <w:rPr>
                    <w:rFonts w:eastAsia="Times New Roman" w:cs="Times New Roman"/>
                    <w:i/>
                  </w:rPr>
                  <w:t xml:space="preserve">Tale of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Momotar</w:t>
                </w:r>
                <w:r w:rsidRPr="004C11C2">
                  <w:rPr>
                    <w:rFonts w:cs="Times New Roman"/>
                    <w:i/>
                  </w:rPr>
                  <w:t>ō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(1943) at the Tokyo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Theatre.</w:t>
                </w:r>
              </w:p>
              <w:p w14:paraId="27833540" w14:textId="77777777" w:rsidR="004C11C2" w:rsidRPr="004C11C2" w:rsidRDefault="004C11C2" w:rsidP="004C11C2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4C11C2">
                  <w:rPr>
                    <w:rFonts w:eastAsia="Times New Roman" w:cs="Times New Roman"/>
                  </w:rPr>
                  <w:t xml:space="preserve">Meanwhile,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played in over 100 films including </w:t>
                </w:r>
                <w:r w:rsidRPr="004C11C2">
                  <w:rPr>
                    <w:rStyle w:val="Emphasis"/>
                    <w:rFonts w:cs="Times New Roman"/>
                  </w:rPr>
                  <w:t>PCL</w:t>
                </w:r>
                <w:r w:rsidRPr="004C11C2">
                  <w:rPr>
                    <w:rStyle w:val="st"/>
                    <w:rFonts w:cs="Times New Roman"/>
                    <w:i/>
                  </w:rPr>
                  <w:t xml:space="preserve"> (</w:t>
                </w:r>
                <w:r w:rsidRPr="004C11C2">
                  <w:rPr>
                    <w:rStyle w:val="Emphasis"/>
                    <w:rFonts w:cs="Times New Roman"/>
                  </w:rPr>
                  <w:t>Photo Chemical Laboratory; later Toho</w:t>
                </w:r>
                <w:r w:rsidRPr="004C11C2">
                  <w:rPr>
                    <w:rStyle w:val="st"/>
                    <w:rFonts w:cs="Times New Roman"/>
                  </w:rPr>
                  <w:t xml:space="preserve">) early talkies directed by Yamamoto </w:t>
                </w:r>
                <w:proofErr w:type="spellStart"/>
                <w:r w:rsidRPr="004C11C2">
                  <w:rPr>
                    <w:rStyle w:val="st"/>
                    <w:rFonts w:cs="Times New Roman"/>
                  </w:rPr>
                  <w:t>Gajir</w:t>
                </w:r>
                <w:r w:rsidRPr="004C11C2">
                  <w:rPr>
                    <w:rFonts w:cs="Times New Roman"/>
                  </w:rPr>
                  <w:t>ō</w:t>
                </w:r>
                <w:proofErr w:type="spellEnd"/>
                <w:r w:rsidRPr="004C11C2">
                  <w:rPr>
                    <w:rStyle w:val="st"/>
                    <w:rFonts w:cs="Times New Roman"/>
                  </w:rPr>
                  <w:t>. M</w:t>
                </w:r>
                <w:r w:rsidRPr="004C11C2">
                  <w:rPr>
                    <w:rFonts w:eastAsia="Times New Roman" w:cs="Times New Roman"/>
                  </w:rPr>
                  <w:t xml:space="preserve">any early films were adaption of musical revues written by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Kikuya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>, including</w:t>
                </w:r>
                <w:r w:rsidRPr="004C11C2">
                  <w:rPr>
                    <w:rStyle w:val="st"/>
                    <w:rFonts w:cs="Times New Roman"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Tale of Youth’s Folly </w:t>
                </w:r>
                <w:r w:rsidRPr="004C11C2">
                  <w:rPr>
                    <w:rFonts w:eastAsia="Times New Roman" w:cs="Times New Roman"/>
                  </w:rPr>
                  <w:t xml:space="preserve">(1934),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Millionaires</w:t>
                </w:r>
                <w:r w:rsidRPr="004C11C2">
                  <w:rPr>
                    <w:rFonts w:eastAsia="Times New Roman" w:cs="Times New Roman"/>
                  </w:rPr>
                  <w:t xml:space="preserve"> (1936) and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Enoken’s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4C11C2">
                  <w:rPr>
                    <w:rFonts w:eastAsia="Times New Roman" w:cs="Times New Roman"/>
                    <w:i/>
                  </w:rPr>
                  <w:t>Chakkiri</w:t>
                </w:r>
                <w:proofErr w:type="spellEnd"/>
                <w:r w:rsidRPr="004C11C2">
                  <w:rPr>
                    <w:rFonts w:eastAsia="Times New Roman" w:cs="Times New Roman"/>
                    <w:i/>
                  </w:rPr>
                  <w:t xml:space="preserve"> Kinta</w:t>
                </w:r>
                <w:r w:rsidRPr="004C11C2">
                  <w:rPr>
                    <w:rFonts w:eastAsia="Times New Roman" w:cs="Times New Roman"/>
                  </w:rPr>
                  <w:t xml:space="preserve"> (1937).  Films extended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Enomoto’s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popularity nationwide. In 1945, </w:t>
                </w:r>
                <w:proofErr w:type="spellStart"/>
                <w:r w:rsidRPr="004C11C2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4C11C2">
                  <w:rPr>
                    <w:rFonts w:eastAsia="Times New Roman" w:cs="Times New Roman"/>
                  </w:rPr>
                  <w:t xml:space="preserve"> played in Kurosawa Akira’s </w:t>
                </w:r>
                <w:r w:rsidRPr="004C11C2">
                  <w:rPr>
                    <w:rFonts w:cs="Times New Roman"/>
                    <w:bCs/>
                    <w:i/>
                    <w:iCs/>
                  </w:rPr>
                  <w:t>They Who Step on the Tiger's Tail</w:t>
                </w:r>
                <w:r w:rsidRPr="004C11C2">
                  <w:rPr>
                    <w:rFonts w:cs="Times New Roman"/>
                  </w:rPr>
                  <w:t xml:space="preserve"> (1945), based on </w:t>
                </w:r>
                <w:r w:rsidRPr="004C11C2">
                  <w:rPr>
                    <w:rFonts w:cs="Times New Roman"/>
                    <w:i/>
                  </w:rPr>
                  <w:t>kabuki</w:t>
                </w:r>
                <w:r w:rsidRPr="004C11C2">
                  <w:rPr>
                    <w:rFonts w:cs="Times New Roman"/>
                  </w:rPr>
                  <w:t xml:space="preserve">’s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Kanjinchō</w:t>
                </w:r>
                <w:proofErr w:type="spellEnd"/>
                <w:r w:rsidRPr="004C11C2">
                  <w:rPr>
                    <w:rFonts w:cs="Times New Roman"/>
                  </w:rPr>
                  <w:t xml:space="preserve">, which was banned until 1952 by the occupying </w:t>
                </w:r>
                <w:r w:rsidRPr="001D6107">
                  <w:rPr>
                    <w:rFonts w:cs="Times New Roman"/>
                  </w:rPr>
                  <w:t>Supreme Commander of the Allied Powers</w:t>
                </w:r>
                <w:r w:rsidRPr="004C11C2">
                  <w:rPr>
                    <w:rFonts w:cs="Times New Roman"/>
                  </w:rPr>
                  <w:t xml:space="preserve"> (SCAP) due to its portrayal of feudal values. </w:t>
                </w:r>
              </w:p>
              <w:p w14:paraId="6F9EA20D" w14:textId="77777777" w:rsidR="003F0D73" w:rsidRPr="004C11C2" w:rsidRDefault="004C11C2" w:rsidP="004C11C2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4C11C2">
                  <w:rPr>
                    <w:rFonts w:cs="Times New Roman"/>
                  </w:rPr>
                  <w:t xml:space="preserve">After World War II in occupied Japan, </w:t>
                </w:r>
                <w:proofErr w:type="spellStart"/>
                <w:r w:rsidRPr="004C11C2">
                  <w:rPr>
                    <w:rFonts w:cs="Times New Roman"/>
                  </w:rPr>
                  <w:t>Enomoto</w:t>
                </w:r>
                <w:proofErr w:type="spellEnd"/>
                <w:r w:rsidRPr="004C11C2">
                  <w:rPr>
                    <w:rFonts w:cs="Times New Roman"/>
                  </w:rPr>
                  <w:t xml:space="preserve">, with </w:t>
                </w:r>
                <w:proofErr w:type="spellStart"/>
                <w:r w:rsidRPr="004C11C2">
                  <w:rPr>
                    <w:rFonts w:cs="Times New Roman"/>
                  </w:rPr>
                  <w:t>Kikuya</w:t>
                </w:r>
                <w:proofErr w:type="spellEnd"/>
                <w:r w:rsidRPr="004C11C2">
                  <w:rPr>
                    <w:rFonts w:cs="Times New Roman"/>
                  </w:rPr>
                  <w:t xml:space="preserve"> Kazuo, his playwright in early days and then </w:t>
                </w:r>
                <w:proofErr w:type="spellStart"/>
                <w:r w:rsidRPr="004C11C2">
                  <w:rPr>
                    <w:rFonts w:cs="Times New Roman"/>
                  </w:rPr>
                  <w:t>Tōhō’s</w:t>
                </w:r>
                <w:proofErr w:type="spellEnd"/>
                <w:r w:rsidRPr="004C11C2">
                  <w:rPr>
                    <w:rFonts w:cs="Times New Roman"/>
                  </w:rPr>
                  <w:t xml:space="preserve"> Director and creator of the </w:t>
                </w:r>
                <w:proofErr w:type="spellStart"/>
                <w:r w:rsidRPr="004C11C2">
                  <w:rPr>
                    <w:rFonts w:cs="Times New Roman"/>
                  </w:rPr>
                  <w:t>Tōhō</w:t>
                </w:r>
                <w:proofErr w:type="spellEnd"/>
                <w:r w:rsidRPr="004C11C2">
                  <w:rPr>
                    <w:rFonts w:cs="Times New Roman"/>
                  </w:rPr>
                  <w:t xml:space="preserve"> Musicals, regenerated musical comedies by staging his </w:t>
                </w:r>
                <w:proofErr w:type="spellStart"/>
                <w:r w:rsidRPr="004C11C2">
                  <w:rPr>
                    <w:rFonts w:cs="Times New Roman"/>
                  </w:rPr>
                  <w:t>prewar</w:t>
                </w:r>
                <w:proofErr w:type="spellEnd"/>
                <w:r w:rsidRPr="004C11C2">
                  <w:rPr>
                    <w:rFonts w:cs="Times New Roman"/>
                  </w:rPr>
                  <w:t xml:space="preserve"> signature and </w:t>
                </w:r>
                <w:proofErr w:type="spellStart"/>
                <w:r w:rsidRPr="004C11C2">
                  <w:rPr>
                    <w:rFonts w:cs="Times New Roman"/>
                  </w:rPr>
                  <w:t>postwar</w:t>
                </w:r>
                <w:proofErr w:type="spellEnd"/>
                <w:r w:rsidRPr="004C11C2">
                  <w:rPr>
                    <w:rFonts w:cs="Times New Roman"/>
                  </w:rPr>
                  <w:t xml:space="preserve"> new pieces at </w:t>
                </w:r>
                <w:proofErr w:type="spellStart"/>
                <w:r w:rsidRPr="004C11C2">
                  <w:rPr>
                    <w:rFonts w:cs="Times New Roman"/>
                  </w:rPr>
                  <w:t>Tōhō</w:t>
                </w:r>
                <w:proofErr w:type="spellEnd"/>
                <w:r w:rsidRPr="004C11C2">
                  <w:rPr>
                    <w:rFonts w:cs="Times New Roman"/>
                  </w:rPr>
                  <w:t xml:space="preserve"> theatres, including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Yaji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Kita’s Shank’s Mare Tour of the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Tōkaidō</w:t>
                </w:r>
                <w:proofErr w:type="spellEnd"/>
                <w:r w:rsidRPr="004C11C2">
                  <w:rPr>
                    <w:rFonts w:cs="Times New Roman"/>
                  </w:rPr>
                  <w:t xml:space="preserve"> (1947),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Osome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Hisamatsu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</w:t>
                </w:r>
                <w:r w:rsidRPr="004C11C2">
                  <w:rPr>
                    <w:rFonts w:cs="Times New Roman"/>
                  </w:rPr>
                  <w:t xml:space="preserve">(1949)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Okaru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and </w:t>
                </w:r>
                <w:proofErr w:type="spellStart"/>
                <w:r w:rsidRPr="004C11C2">
                  <w:rPr>
                    <w:rFonts w:cs="Times New Roman"/>
                    <w:i/>
                  </w:rPr>
                  <w:t>Kanpei</w:t>
                </w:r>
                <w:proofErr w:type="spellEnd"/>
                <w:r w:rsidRPr="004C11C2">
                  <w:rPr>
                    <w:rFonts w:cs="Times New Roman"/>
                    <w:i/>
                  </w:rPr>
                  <w:t xml:space="preserve"> </w:t>
                </w:r>
                <w:r w:rsidRPr="004C11C2">
                  <w:rPr>
                    <w:rFonts w:cs="Times New Roman"/>
                  </w:rPr>
                  <w:t xml:space="preserve">(1951, 1955). As his gangrenous right leg’s condition got worse and he had his right leg amputated in 1962, </w:t>
                </w:r>
                <w:proofErr w:type="spellStart"/>
                <w:r w:rsidRPr="004C11C2">
                  <w:rPr>
                    <w:rFonts w:cs="Times New Roman"/>
                  </w:rPr>
                  <w:t>Enomoto</w:t>
                </w:r>
                <w:proofErr w:type="spellEnd"/>
                <w:r w:rsidRPr="004C11C2">
                  <w:rPr>
                    <w:rFonts w:cs="Times New Roman"/>
                  </w:rPr>
                  <w:t xml:space="preserve"> continued to perform on the stage as well as in film, TV and radio in the </w:t>
                </w:r>
                <w:proofErr w:type="spellStart"/>
                <w:r w:rsidRPr="004C11C2">
                  <w:rPr>
                    <w:rFonts w:cs="Times New Roman"/>
                  </w:rPr>
                  <w:t>postwar</w:t>
                </w:r>
                <w:proofErr w:type="spellEnd"/>
                <w:r w:rsidRPr="004C11C2">
                  <w:rPr>
                    <w:rFonts w:cs="Times New Roman"/>
                  </w:rPr>
                  <w:t xml:space="preserve"> Japanese entertainment industry until one year before his death.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4C11C2" w14:paraId="0676EB84" w14:textId="77777777" w:rsidTr="003235A7">
        <w:tc>
          <w:tcPr>
            <w:tcW w:w="9016" w:type="dxa"/>
          </w:tcPr>
          <w:p w14:paraId="4635D755" w14:textId="77777777" w:rsidR="003235A7" w:rsidRPr="004C11C2" w:rsidRDefault="003235A7" w:rsidP="008A5B87">
            <w:r w:rsidRPr="004C11C2">
              <w:rPr>
                <w:u w:val="single"/>
              </w:rPr>
              <w:lastRenderedPageBreak/>
              <w:t>Further reading</w:t>
            </w:r>
            <w:r w:rsidRPr="004C11C2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131708F5FC246B835B3063B7E11A4"/>
              </w:placeholder>
              <w:showingPlcHdr/>
            </w:sdtPr>
            <w:sdtEndPr/>
            <w:sdtContent>
              <w:p w14:paraId="1A92A2A9" w14:textId="77777777" w:rsidR="003235A7" w:rsidRPr="004C11C2" w:rsidRDefault="003235A7" w:rsidP="00FB11DE">
                <w:r w:rsidRPr="004C11C2">
                  <w:rPr>
                    <w:rStyle w:val="PlaceholderText"/>
                  </w:rPr>
                  <w:t>[</w:t>
                </w:r>
                <w:r w:rsidR="00FB11DE" w:rsidRPr="004C11C2">
                  <w:rPr>
                    <w:rStyle w:val="PlaceholderText"/>
                  </w:rPr>
                  <w:t>Enter citations for further reading</w:t>
                </w:r>
                <w:r w:rsidRPr="004C11C2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B35CA52" w14:textId="77777777" w:rsidR="00C27FAB" w:rsidRPr="004C11C2" w:rsidRDefault="00C27FAB" w:rsidP="00B33145"/>
    <w:sectPr w:rsidR="00C27FAB" w:rsidRPr="004C11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66613" w14:textId="77777777" w:rsidR="004C11C2" w:rsidRDefault="004C11C2" w:rsidP="007A0D55">
      <w:pPr>
        <w:spacing w:after="0" w:line="240" w:lineRule="auto"/>
      </w:pPr>
      <w:r>
        <w:separator/>
      </w:r>
    </w:p>
  </w:endnote>
  <w:endnote w:type="continuationSeparator" w:id="0">
    <w:p w14:paraId="5EDC5240" w14:textId="77777777" w:rsidR="004C11C2" w:rsidRDefault="004C11C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F54BF" w14:textId="77777777" w:rsidR="004C11C2" w:rsidRDefault="004C11C2" w:rsidP="007A0D55">
      <w:pPr>
        <w:spacing w:after="0" w:line="240" w:lineRule="auto"/>
      </w:pPr>
      <w:r>
        <w:separator/>
      </w:r>
    </w:p>
  </w:footnote>
  <w:footnote w:type="continuationSeparator" w:id="0">
    <w:p w14:paraId="45DEC3FC" w14:textId="77777777" w:rsidR="004C11C2" w:rsidRDefault="004C11C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4A5A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031C8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C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610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11C2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DF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11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11C2"/>
    <w:rPr>
      <w:color w:val="0000FF"/>
      <w:u w:val="single"/>
    </w:rPr>
  </w:style>
  <w:style w:type="character" w:customStyle="1" w:styleId="st">
    <w:name w:val="st"/>
    <w:basedOn w:val="DefaultParagraphFont"/>
    <w:rsid w:val="004C11C2"/>
  </w:style>
  <w:style w:type="character" w:styleId="Emphasis">
    <w:name w:val="Emphasis"/>
    <w:basedOn w:val="DefaultParagraphFont"/>
    <w:uiPriority w:val="20"/>
    <w:qFormat/>
    <w:rsid w:val="004C11C2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4C11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C11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C11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1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C11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1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11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11C2"/>
    <w:rPr>
      <w:color w:val="0000FF"/>
      <w:u w:val="single"/>
    </w:rPr>
  </w:style>
  <w:style w:type="character" w:customStyle="1" w:styleId="st">
    <w:name w:val="st"/>
    <w:basedOn w:val="DefaultParagraphFont"/>
    <w:rsid w:val="004C11C2"/>
  </w:style>
  <w:style w:type="character" w:styleId="Emphasis">
    <w:name w:val="Emphasis"/>
    <w:basedOn w:val="DefaultParagraphFont"/>
    <w:uiPriority w:val="20"/>
    <w:qFormat/>
    <w:rsid w:val="004C11C2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4C11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C11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C11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1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C11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1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F25D32C7AB104E85CBBE654F8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76FB7-71AF-6849-8332-91F662A37F5E}"/>
      </w:docPartPr>
      <w:docPartBody>
        <w:p w:rsidR="00297618" w:rsidRDefault="00297618">
          <w:pPr>
            <w:pStyle w:val="53F25D32C7AB104E85CBBE654F85500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9E776A583BE849BF89D7FC9B34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76376-343E-E941-8F9C-01EE429C3DE2}"/>
      </w:docPartPr>
      <w:docPartBody>
        <w:p w:rsidR="00297618" w:rsidRDefault="00297618">
          <w:pPr>
            <w:pStyle w:val="CC9E776A583BE849BF89D7FC9B340F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433B8BD82BC84B9A18C4566706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2431-6499-8D45-B187-78FF9A95682B}"/>
      </w:docPartPr>
      <w:docPartBody>
        <w:p w:rsidR="00297618" w:rsidRDefault="00297618">
          <w:pPr>
            <w:pStyle w:val="B3433B8BD82BC84B9A18C4566706D37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D0E5B2A2238449AE438DDD85B1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56E6A-181A-FE4A-8CCD-45FAD339B663}"/>
      </w:docPartPr>
      <w:docPartBody>
        <w:p w:rsidR="00297618" w:rsidRDefault="00297618">
          <w:pPr>
            <w:pStyle w:val="CCD0E5B2A2238449AE438DDD85B19A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D0A6609C27F80479ABB28EC5EB1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F1DC8-EA7C-5544-8134-22BAEB72F0FA}"/>
      </w:docPartPr>
      <w:docPartBody>
        <w:p w:rsidR="00297618" w:rsidRDefault="00297618">
          <w:pPr>
            <w:pStyle w:val="ED0A6609C27F80479ABB28EC5EB172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E3690B4D5A6140A112554B08D49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B8463-7B56-8945-98C7-B5991A6A820A}"/>
      </w:docPartPr>
      <w:docPartBody>
        <w:p w:rsidR="00297618" w:rsidRDefault="00297618">
          <w:pPr>
            <w:pStyle w:val="23E3690B4D5A6140A112554B08D493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A03584BA91C8B4BAAE484993398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AFB32-0FC2-4B4B-AA16-3123197B73A0}"/>
      </w:docPartPr>
      <w:docPartBody>
        <w:p w:rsidR="00297618" w:rsidRDefault="00297618">
          <w:pPr>
            <w:pStyle w:val="5A03584BA91C8B4BAAE48499339843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BD7362D553754E9CDF335B1240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BBF59-6395-4D45-A5C3-6C01ED6BB75D}"/>
      </w:docPartPr>
      <w:docPartBody>
        <w:p w:rsidR="00297618" w:rsidRDefault="00297618">
          <w:pPr>
            <w:pStyle w:val="7ABD7362D553754E9CDF335B124019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8F8CFAAA0783488A5FDF740B86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CEED3-D437-3242-B45A-3B4AD89D2A9D}"/>
      </w:docPartPr>
      <w:docPartBody>
        <w:p w:rsidR="00297618" w:rsidRDefault="00297618">
          <w:pPr>
            <w:pStyle w:val="698F8CFAAA0783488A5FDF740B869B0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932A6B1BF8A44B8DA5D8E4C012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BF143-406E-4F4A-AB8B-1323F5BED508}"/>
      </w:docPartPr>
      <w:docPartBody>
        <w:p w:rsidR="00297618" w:rsidRDefault="00297618">
          <w:pPr>
            <w:pStyle w:val="2F932A6B1BF8A44B8DA5D8E4C0126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131708F5FC246B835B3063B7E1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B9AD-D408-9E48-9555-1ADC49CED19A}"/>
      </w:docPartPr>
      <w:docPartBody>
        <w:p w:rsidR="00297618" w:rsidRDefault="00297618">
          <w:pPr>
            <w:pStyle w:val="A41131708F5FC246B835B3063B7E11A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18"/>
    <w:rsid w:val="0029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5D32C7AB104E85CBBE654F85500E">
    <w:name w:val="53F25D32C7AB104E85CBBE654F85500E"/>
  </w:style>
  <w:style w:type="paragraph" w:customStyle="1" w:styleId="CC9E776A583BE849BF89D7FC9B340FDE">
    <w:name w:val="CC9E776A583BE849BF89D7FC9B340FDE"/>
  </w:style>
  <w:style w:type="paragraph" w:customStyle="1" w:styleId="B3433B8BD82BC84B9A18C4566706D378">
    <w:name w:val="B3433B8BD82BC84B9A18C4566706D378"/>
  </w:style>
  <w:style w:type="paragraph" w:customStyle="1" w:styleId="CCD0E5B2A2238449AE438DDD85B19ACF">
    <w:name w:val="CCD0E5B2A2238449AE438DDD85B19ACF"/>
  </w:style>
  <w:style w:type="paragraph" w:customStyle="1" w:styleId="ED0A6609C27F80479ABB28EC5EB1725F">
    <w:name w:val="ED0A6609C27F80479ABB28EC5EB1725F"/>
  </w:style>
  <w:style w:type="paragraph" w:customStyle="1" w:styleId="23E3690B4D5A6140A112554B08D49386">
    <w:name w:val="23E3690B4D5A6140A112554B08D49386"/>
  </w:style>
  <w:style w:type="paragraph" w:customStyle="1" w:styleId="5A03584BA91C8B4BAAE4849933984324">
    <w:name w:val="5A03584BA91C8B4BAAE4849933984324"/>
  </w:style>
  <w:style w:type="paragraph" w:customStyle="1" w:styleId="7ABD7362D553754E9CDF335B1240198C">
    <w:name w:val="7ABD7362D553754E9CDF335B1240198C"/>
  </w:style>
  <w:style w:type="paragraph" w:customStyle="1" w:styleId="698F8CFAAA0783488A5FDF740B869B0A">
    <w:name w:val="698F8CFAAA0783488A5FDF740B869B0A"/>
  </w:style>
  <w:style w:type="paragraph" w:customStyle="1" w:styleId="2F932A6B1BF8A44B8DA5D8E4C01266E4">
    <w:name w:val="2F932A6B1BF8A44B8DA5D8E4C01266E4"/>
  </w:style>
  <w:style w:type="paragraph" w:customStyle="1" w:styleId="A41131708F5FC246B835B3063B7E11A4">
    <w:name w:val="A41131708F5FC246B835B3063B7E11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5D32C7AB104E85CBBE654F85500E">
    <w:name w:val="53F25D32C7AB104E85CBBE654F85500E"/>
  </w:style>
  <w:style w:type="paragraph" w:customStyle="1" w:styleId="CC9E776A583BE849BF89D7FC9B340FDE">
    <w:name w:val="CC9E776A583BE849BF89D7FC9B340FDE"/>
  </w:style>
  <w:style w:type="paragraph" w:customStyle="1" w:styleId="B3433B8BD82BC84B9A18C4566706D378">
    <w:name w:val="B3433B8BD82BC84B9A18C4566706D378"/>
  </w:style>
  <w:style w:type="paragraph" w:customStyle="1" w:styleId="CCD0E5B2A2238449AE438DDD85B19ACF">
    <w:name w:val="CCD0E5B2A2238449AE438DDD85B19ACF"/>
  </w:style>
  <w:style w:type="paragraph" w:customStyle="1" w:styleId="ED0A6609C27F80479ABB28EC5EB1725F">
    <w:name w:val="ED0A6609C27F80479ABB28EC5EB1725F"/>
  </w:style>
  <w:style w:type="paragraph" w:customStyle="1" w:styleId="23E3690B4D5A6140A112554B08D49386">
    <w:name w:val="23E3690B4D5A6140A112554B08D49386"/>
  </w:style>
  <w:style w:type="paragraph" w:customStyle="1" w:styleId="5A03584BA91C8B4BAAE4849933984324">
    <w:name w:val="5A03584BA91C8B4BAAE4849933984324"/>
  </w:style>
  <w:style w:type="paragraph" w:customStyle="1" w:styleId="7ABD7362D553754E9CDF335B1240198C">
    <w:name w:val="7ABD7362D553754E9CDF335B1240198C"/>
  </w:style>
  <w:style w:type="paragraph" w:customStyle="1" w:styleId="698F8CFAAA0783488A5FDF740B869B0A">
    <w:name w:val="698F8CFAAA0783488A5FDF740B869B0A"/>
  </w:style>
  <w:style w:type="paragraph" w:customStyle="1" w:styleId="2F932A6B1BF8A44B8DA5D8E4C01266E4">
    <w:name w:val="2F932A6B1BF8A44B8DA5D8E4C01266E4"/>
  </w:style>
  <w:style w:type="paragraph" w:customStyle="1" w:styleId="A41131708F5FC246B835B3063B7E11A4">
    <w:name w:val="A41131708F5FC246B835B3063B7E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732</Words>
  <Characters>4175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2</cp:revision>
  <dcterms:created xsi:type="dcterms:W3CDTF">2015-08-27T00:56:00Z</dcterms:created>
  <dcterms:modified xsi:type="dcterms:W3CDTF">2015-09-26T00:31:00Z</dcterms:modified>
</cp:coreProperties>
</file>