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D62F55" w14:paraId="0DBEAE31" w14:textId="77777777" w:rsidTr="00922950">
        <w:tc>
          <w:tcPr>
            <w:tcW w:w="491" w:type="dxa"/>
            <w:vMerge w:val="restart"/>
            <w:shd w:val="clear" w:color="auto" w:fill="A6A6A6" w:themeFill="background1" w:themeFillShade="A6"/>
            <w:textDirection w:val="btLr"/>
          </w:tcPr>
          <w:p w14:paraId="67E647CC" w14:textId="77777777" w:rsidR="00B574C9" w:rsidRPr="00D62F55" w:rsidRDefault="00B574C9" w:rsidP="00CC586D">
            <w:pPr>
              <w:jc w:val="center"/>
              <w:rPr>
                <w:b/>
                <w:color w:val="FFFFFF" w:themeColor="background1"/>
              </w:rPr>
            </w:pPr>
            <w:r w:rsidRPr="00D62F55">
              <w:rPr>
                <w:b/>
                <w:color w:val="FFFFFF" w:themeColor="background1"/>
              </w:rPr>
              <w:t>About you</w:t>
            </w:r>
          </w:p>
        </w:tc>
        <w:sdt>
          <w:sdtPr>
            <w:rPr>
              <w:b/>
              <w:color w:val="FFFFFF" w:themeColor="background1"/>
            </w:rPr>
            <w:alias w:val="Salutation"/>
            <w:tag w:val="salutation"/>
            <w:id w:val="-1659997262"/>
            <w:placeholder>
              <w:docPart w:val="F08C324691854847A642A8F33B67DE0C"/>
            </w:placeholder>
            <w:showingPlcHdr/>
            <w:dropDownList>
              <w:listItem w:displayText="Dr." w:value="Dr."/>
              <w:listItem w:displayText="Prof." w:value="Prof."/>
            </w:dropDownList>
          </w:sdtPr>
          <w:sdtEndPr/>
          <w:sdtContent>
            <w:tc>
              <w:tcPr>
                <w:tcW w:w="1259" w:type="dxa"/>
              </w:tcPr>
              <w:p w14:paraId="085D5825" w14:textId="77777777" w:rsidR="00B574C9" w:rsidRPr="00D62F55" w:rsidRDefault="00B574C9" w:rsidP="00CC586D">
                <w:pPr>
                  <w:jc w:val="center"/>
                  <w:rPr>
                    <w:b/>
                    <w:color w:val="FFFFFF" w:themeColor="background1"/>
                  </w:rPr>
                </w:pPr>
                <w:r w:rsidRPr="00D62F55">
                  <w:rPr>
                    <w:rStyle w:val="PlaceholderText"/>
                    <w:b/>
                    <w:color w:val="FFFFFF" w:themeColor="background1"/>
                  </w:rPr>
                  <w:t>[Salutation]</w:t>
                </w:r>
              </w:p>
            </w:tc>
          </w:sdtContent>
        </w:sdt>
        <w:sdt>
          <w:sdtPr>
            <w:alias w:val="First name"/>
            <w:tag w:val="authorFirstName"/>
            <w:id w:val="581645879"/>
            <w:placeholder>
              <w:docPart w:val="0207101F64EEA94A9FDC23DEC5138195"/>
            </w:placeholder>
            <w:text/>
          </w:sdtPr>
          <w:sdtEndPr/>
          <w:sdtContent>
            <w:tc>
              <w:tcPr>
                <w:tcW w:w="2073" w:type="dxa"/>
              </w:tcPr>
              <w:p w14:paraId="000B40A9" w14:textId="77777777" w:rsidR="00B574C9" w:rsidRPr="00D62F55" w:rsidRDefault="00D62F55" w:rsidP="00D62F55">
                <w:r w:rsidRPr="00D62F55">
                  <w:t>Emilie</w:t>
                </w:r>
              </w:p>
            </w:tc>
          </w:sdtContent>
        </w:sdt>
        <w:sdt>
          <w:sdtPr>
            <w:alias w:val="Middle name"/>
            <w:tag w:val="authorMiddleName"/>
            <w:id w:val="-2076034781"/>
            <w:placeholder>
              <w:docPart w:val="154AEF002DC3E74BA2E6FDA518F9A51B"/>
            </w:placeholder>
            <w:showingPlcHdr/>
            <w:text/>
          </w:sdtPr>
          <w:sdtEndPr/>
          <w:sdtContent>
            <w:tc>
              <w:tcPr>
                <w:tcW w:w="2551" w:type="dxa"/>
              </w:tcPr>
              <w:p w14:paraId="4ABC563B" w14:textId="77777777" w:rsidR="00B574C9" w:rsidRPr="00D62F55" w:rsidRDefault="00B574C9" w:rsidP="00922950">
                <w:r w:rsidRPr="00D62F55">
                  <w:rPr>
                    <w:rStyle w:val="PlaceholderText"/>
                  </w:rPr>
                  <w:t>[Middle name]</w:t>
                </w:r>
              </w:p>
            </w:tc>
          </w:sdtContent>
        </w:sdt>
        <w:sdt>
          <w:sdtPr>
            <w:alias w:val="Last name"/>
            <w:tag w:val="authorLastName"/>
            <w:id w:val="-1088529830"/>
            <w:placeholder>
              <w:docPart w:val="8C3F2E456ACF4149B57F1F1F84F46A7A"/>
            </w:placeholder>
            <w:text/>
          </w:sdtPr>
          <w:sdtEndPr/>
          <w:sdtContent>
            <w:tc>
              <w:tcPr>
                <w:tcW w:w="2642" w:type="dxa"/>
              </w:tcPr>
              <w:p w14:paraId="3644F02D" w14:textId="77777777" w:rsidR="00B574C9" w:rsidRPr="00D62F55" w:rsidRDefault="00D62F55" w:rsidP="00D62F55">
                <w:r w:rsidRPr="00D62F55">
                  <w:t>Pine</w:t>
                </w:r>
              </w:p>
            </w:tc>
          </w:sdtContent>
        </w:sdt>
      </w:tr>
      <w:tr w:rsidR="00B574C9" w:rsidRPr="00D62F55" w14:paraId="6E6BEE2D" w14:textId="77777777" w:rsidTr="001A6A06">
        <w:trPr>
          <w:trHeight w:val="986"/>
        </w:trPr>
        <w:tc>
          <w:tcPr>
            <w:tcW w:w="491" w:type="dxa"/>
            <w:vMerge/>
            <w:shd w:val="clear" w:color="auto" w:fill="A6A6A6" w:themeFill="background1" w:themeFillShade="A6"/>
          </w:tcPr>
          <w:p w14:paraId="672D37FC" w14:textId="77777777" w:rsidR="00B574C9" w:rsidRPr="00D62F55" w:rsidRDefault="00B574C9" w:rsidP="00CF1542">
            <w:pPr>
              <w:jc w:val="center"/>
              <w:rPr>
                <w:b/>
                <w:color w:val="FFFFFF" w:themeColor="background1"/>
              </w:rPr>
            </w:pPr>
          </w:p>
        </w:tc>
        <w:sdt>
          <w:sdtPr>
            <w:alias w:val="Biography"/>
            <w:tag w:val="authorBiography"/>
            <w:id w:val="938807824"/>
            <w:placeholder>
              <w:docPart w:val="DA9E154C1EC0CE4DA03A97B8DCC8CE6A"/>
            </w:placeholder>
            <w:showingPlcHdr/>
          </w:sdtPr>
          <w:sdtEndPr/>
          <w:sdtContent>
            <w:tc>
              <w:tcPr>
                <w:tcW w:w="8525" w:type="dxa"/>
                <w:gridSpan w:val="4"/>
              </w:tcPr>
              <w:p w14:paraId="4CC9A280" w14:textId="77777777" w:rsidR="00B574C9" w:rsidRPr="00D62F55" w:rsidRDefault="00B574C9" w:rsidP="00922950">
                <w:r w:rsidRPr="00D62F55">
                  <w:rPr>
                    <w:rStyle w:val="PlaceholderText"/>
                  </w:rPr>
                  <w:t>[Enter your biography]</w:t>
                </w:r>
              </w:p>
            </w:tc>
          </w:sdtContent>
        </w:sdt>
      </w:tr>
      <w:tr w:rsidR="00B574C9" w:rsidRPr="00D62F55" w14:paraId="71EB1F55" w14:textId="77777777" w:rsidTr="001A6A06">
        <w:trPr>
          <w:trHeight w:val="986"/>
        </w:trPr>
        <w:tc>
          <w:tcPr>
            <w:tcW w:w="491" w:type="dxa"/>
            <w:vMerge/>
            <w:shd w:val="clear" w:color="auto" w:fill="A6A6A6" w:themeFill="background1" w:themeFillShade="A6"/>
          </w:tcPr>
          <w:p w14:paraId="3D9D20D8" w14:textId="77777777" w:rsidR="00B574C9" w:rsidRPr="00D62F55" w:rsidRDefault="00B574C9" w:rsidP="00CF1542">
            <w:pPr>
              <w:jc w:val="center"/>
              <w:rPr>
                <w:b/>
                <w:color w:val="FFFFFF" w:themeColor="background1"/>
              </w:rPr>
            </w:pPr>
          </w:p>
        </w:tc>
        <w:sdt>
          <w:sdtPr>
            <w:alias w:val="Affiliation"/>
            <w:tag w:val="affiliation"/>
            <w:id w:val="2012937915"/>
            <w:placeholder>
              <w:docPart w:val="9A95DADF36035D438D7E5793513F901A"/>
            </w:placeholder>
            <w:text/>
          </w:sdtPr>
          <w:sdtEndPr/>
          <w:sdtContent>
            <w:tc>
              <w:tcPr>
                <w:tcW w:w="8525" w:type="dxa"/>
                <w:gridSpan w:val="4"/>
              </w:tcPr>
              <w:p w14:paraId="5001D8E8" w14:textId="77777777" w:rsidR="00B574C9" w:rsidRPr="00D62F55" w:rsidRDefault="00D62F55" w:rsidP="00D62F55">
                <w:r w:rsidRPr="00D62F55">
                  <w:t>University College Dublin</w:t>
                </w:r>
              </w:p>
            </w:tc>
          </w:sdtContent>
        </w:sdt>
      </w:tr>
    </w:tbl>
    <w:p w14:paraId="641E0506" w14:textId="77777777" w:rsidR="003D3579" w:rsidRPr="00D62F55"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D62F55" w14:paraId="7E474B03" w14:textId="77777777" w:rsidTr="00244BB0">
        <w:tc>
          <w:tcPr>
            <w:tcW w:w="9016" w:type="dxa"/>
            <w:shd w:val="clear" w:color="auto" w:fill="A6A6A6" w:themeFill="background1" w:themeFillShade="A6"/>
            <w:tcMar>
              <w:top w:w="113" w:type="dxa"/>
              <w:bottom w:w="113" w:type="dxa"/>
            </w:tcMar>
          </w:tcPr>
          <w:p w14:paraId="6EB3AED6" w14:textId="77777777" w:rsidR="00244BB0" w:rsidRPr="00D62F55" w:rsidRDefault="00244BB0" w:rsidP="00244BB0">
            <w:pPr>
              <w:jc w:val="center"/>
              <w:rPr>
                <w:b/>
                <w:color w:val="FFFFFF" w:themeColor="background1"/>
              </w:rPr>
            </w:pPr>
            <w:r w:rsidRPr="00D62F55">
              <w:rPr>
                <w:b/>
                <w:color w:val="FFFFFF" w:themeColor="background1"/>
              </w:rPr>
              <w:t>Your article</w:t>
            </w:r>
          </w:p>
        </w:tc>
      </w:tr>
      <w:tr w:rsidR="003F0D73" w:rsidRPr="00D62F55" w14:paraId="2CBEA97A" w14:textId="77777777" w:rsidTr="003F0D73">
        <w:sdt>
          <w:sdtPr>
            <w:alias w:val="Article headword"/>
            <w:tag w:val="articleHeadword"/>
            <w:id w:val="-361440020"/>
            <w:placeholder>
              <w:docPart w:val="168D6D7427BF9D4AAEC84BFACA9CEB51"/>
            </w:placeholder>
            <w:text/>
          </w:sdtPr>
          <w:sdtEndPr/>
          <w:sdtContent>
            <w:tc>
              <w:tcPr>
                <w:tcW w:w="9016" w:type="dxa"/>
                <w:tcMar>
                  <w:top w:w="113" w:type="dxa"/>
                  <w:bottom w:w="113" w:type="dxa"/>
                </w:tcMar>
              </w:tcPr>
              <w:p w14:paraId="1015BB49" w14:textId="77777777" w:rsidR="003F0D73" w:rsidRPr="00D62F55" w:rsidRDefault="00D62F55" w:rsidP="00D62F55">
                <w:pPr>
                  <w:rPr>
                    <w:b/>
                  </w:rPr>
                </w:pPr>
                <w:r w:rsidRPr="00D62F55">
                  <w:t xml:space="preserve">Sean O’Casey </w:t>
                </w:r>
                <w:r w:rsidRPr="00D62F55">
                  <w:rPr>
                    <w:rFonts w:eastAsiaTheme="minorEastAsia"/>
                    <w:lang w:val="en-IE" w:eastAsia="ja-JP"/>
                  </w:rPr>
                  <w:t>(1880-1964)</w:t>
                </w:r>
              </w:p>
            </w:tc>
          </w:sdtContent>
        </w:sdt>
      </w:tr>
      <w:tr w:rsidR="00464699" w:rsidRPr="00D62F55" w14:paraId="0BC1514B" w14:textId="77777777" w:rsidTr="007821B0">
        <w:sdt>
          <w:sdtPr>
            <w:alias w:val="Variant headwords"/>
            <w:tag w:val="variantHeadwords"/>
            <w:id w:val="173464402"/>
            <w:placeholder>
              <w:docPart w:val="0511DA7720B2544A8E370D8BF9FFDBCA"/>
            </w:placeholder>
            <w:showingPlcHdr/>
          </w:sdtPr>
          <w:sdtEndPr/>
          <w:sdtContent>
            <w:tc>
              <w:tcPr>
                <w:tcW w:w="9016" w:type="dxa"/>
                <w:tcMar>
                  <w:top w:w="113" w:type="dxa"/>
                  <w:bottom w:w="113" w:type="dxa"/>
                </w:tcMar>
              </w:tcPr>
              <w:p w14:paraId="29786B83" w14:textId="77777777" w:rsidR="00464699" w:rsidRPr="00D62F55" w:rsidRDefault="00464699" w:rsidP="00464699">
                <w:r w:rsidRPr="00D62F55">
                  <w:rPr>
                    <w:rStyle w:val="PlaceholderText"/>
                    <w:b/>
                  </w:rPr>
                  <w:t xml:space="preserve">[Enter any </w:t>
                </w:r>
                <w:r w:rsidRPr="00D62F55">
                  <w:rPr>
                    <w:rStyle w:val="PlaceholderText"/>
                    <w:b/>
                    <w:i/>
                  </w:rPr>
                  <w:t>variant forms</w:t>
                </w:r>
                <w:r w:rsidRPr="00D62F55">
                  <w:rPr>
                    <w:rStyle w:val="PlaceholderText"/>
                    <w:b/>
                  </w:rPr>
                  <w:t xml:space="preserve"> of your headword – OPTIONAL]</w:t>
                </w:r>
              </w:p>
            </w:tc>
          </w:sdtContent>
        </w:sdt>
      </w:tr>
      <w:tr w:rsidR="00E85A05" w:rsidRPr="00D62F55" w14:paraId="30AAC17C" w14:textId="77777777" w:rsidTr="003F0D73">
        <w:sdt>
          <w:sdtPr>
            <w:alias w:val="Abstract"/>
            <w:tag w:val="abstract"/>
            <w:id w:val="-635871867"/>
            <w:placeholder>
              <w:docPart w:val="FB32C1CD20680E4389A1B7E4E87EE18A"/>
            </w:placeholder>
          </w:sdtPr>
          <w:sdtEndPr/>
          <w:sdtContent>
            <w:tc>
              <w:tcPr>
                <w:tcW w:w="9016" w:type="dxa"/>
                <w:tcMar>
                  <w:top w:w="113" w:type="dxa"/>
                  <w:bottom w:w="113" w:type="dxa"/>
                </w:tcMar>
              </w:tcPr>
              <w:p w14:paraId="12584F6A" w14:textId="77777777" w:rsidR="00D62F55" w:rsidRPr="00D62F55" w:rsidRDefault="00D62F55" w:rsidP="00D62F55">
                <w:pPr>
                  <w:contextualSpacing/>
                  <w:rPr>
                    <w:lang w:val="en-IE"/>
                  </w:rPr>
                </w:pPr>
                <w:r w:rsidRPr="00D62F55">
                  <w:rPr>
                    <w:lang w:val="en-IE"/>
                  </w:rPr>
                  <w:t xml:space="preserve">Born into Dublin tenement life in 1880, Sean O’Casey (originally John O’Casey) went on to become one of Ireland’s most important playwrights, best known for his realist Dublin Trilogy, which premiered at the Abbey Theatre and included </w:t>
                </w:r>
                <w:r w:rsidRPr="00D62F55">
                  <w:rPr>
                    <w:i/>
                    <w:lang w:val="en-IE"/>
                  </w:rPr>
                  <w:t>The Shadow of a Gunman</w:t>
                </w:r>
                <w:r w:rsidRPr="00D62F55">
                  <w:rPr>
                    <w:lang w:val="en-IE"/>
                  </w:rPr>
                  <w:t xml:space="preserve"> (1923), </w:t>
                </w:r>
                <w:r w:rsidRPr="00D62F55">
                  <w:rPr>
                    <w:i/>
                    <w:lang w:val="en-IE"/>
                  </w:rPr>
                  <w:t>Juno and the Paycock</w:t>
                </w:r>
                <w:r w:rsidRPr="00D62F55">
                  <w:rPr>
                    <w:lang w:val="en-IE"/>
                  </w:rPr>
                  <w:t xml:space="preserve"> (1924), and </w:t>
                </w:r>
                <w:r w:rsidRPr="00D62F55">
                  <w:rPr>
                    <w:i/>
                    <w:lang w:val="en-IE"/>
                  </w:rPr>
                  <w:t>The Plough and the Stars</w:t>
                </w:r>
                <w:r w:rsidRPr="00D62F55">
                  <w:rPr>
                    <w:lang w:val="en-IE"/>
                  </w:rPr>
                  <w:t xml:space="preserve"> (1926). The four-act </w:t>
                </w:r>
                <w:r w:rsidRPr="00D62F55">
                  <w:rPr>
                    <w:i/>
                    <w:lang w:val="en-IE"/>
                  </w:rPr>
                  <w:t>Plough and the Stars</w:t>
                </w:r>
                <w:r w:rsidRPr="00D62F55">
                  <w:rPr>
                    <w:lang w:val="en-IE"/>
                  </w:rPr>
                  <w:t xml:space="preserve"> provoked riots on its second night as protestors objected to the play’s critique of Irish nationalism. O’Casey’s close association with the Abbey ended in 1928 when W. B. Yeats rejected his play about the First World War, </w:t>
                </w:r>
                <w:r w:rsidRPr="00D62F55">
                  <w:rPr>
                    <w:i/>
                    <w:lang w:val="en-IE"/>
                  </w:rPr>
                  <w:t>The Silver Tassie</w:t>
                </w:r>
                <w:r w:rsidRPr="00D62F55">
                  <w:rPr>
                    <w:lang w:val="en-IE"/>
                  </w:rPr>
                  <w:t xml:space="preserve">, which combined realism and expressionism. O’Casey had moved to England in 1926, where he married the actress Eileen Carey, and he continued to write politically focussed plays for English and American stages. He also wrote political essays and six volumes of autobiography. </w:t>
                </w:r>
              </w:p>
              <w:p w14:paraId="60EB4C94" w14:textId="77777777" w:rsidR="00D62F55" w:rsidRPr="00D62F55" w:rsidRDefault="00D62F55" w:rsidP="00D62F55">
                <w:pPr>
                  <w:contextualSpacing/>
                  <w:rPr>
                    <w:lang w:val="en-IE"/>
                  </w:rPr>
                </w:pPr>
              </w:p>
              <w:p w14:paraId="3DE5B703" w14:textId="77777777" w:rsidR="00E85A05" w:rsidRPr="00D62F55" w:rsidRDefault="00D62F55" w:rsidP="00D62F55">
                <w:r w:rsidRPr="00D62F55">
                  <w:rPr>
                    <w:lang w:val="en-IE"/>
                  </w:rPr>
                  <w:t xml:space="preserve">O’Casey’s family were working-class Dubliners who struggled financially after his father was seriously injured, and O’Casey started work at age fourteen. This first-hand understanding of gruelling poverty informed his life-long socialism and his involvement in the 1913 Dublin Lockout strike. In </w:t>
                </w:r>
                <w:r w:rsidRPr="00D62F55">
                  <w:rPr>
                    <w:i/>
                    <w:lang w:val="en-IE"/>
                  </w:rPr>
                  <w:t>The Plough and the Stars</w:t>
                </w:r>
                <w:r w:rsidRPr="00D62F55">
                  <w:rPr>
                    <w:lang w:val="en-IE"/>
                  </w:rPr>
                  <w:t>, his critique of nationalism centered on the disparity between the rhetoric of freedom through blood sacrifice and the hardships of working-class life.</w:t>
                </w:r>
              </w:p>
            </w:tc>
          </w:sdtContent>
        </w:sdt>
      </w:tr>
      <w:tr w:rsidR="003F0D73" w:rsidRPr="00D62F55" w14:paraId="5B26B5A1" w14:textId="77777777" w:rsidTr="003F0D73">
        <w:sdt>
          <w:sdtPr>
            <w:rPr>
              <w:b/>
              <w:color w:val="385623" w:themeColor="accent6" w:themeShade="80"/>
            </w:rPr>
            <w:alias w:val="Article text"/>
            <w:tag w:val="articleText"/>
            <w:id w:val="634067588"/>
            <w:placeholder>
              <w:docPart w:val="6E0E4A615336E84AAF327052AD160797"/>
            </w:placeholder>
          </w:sdtPr>
          <w:sdtEndPr>
            <w:rPr>
              <w:b w:val="0"/>
              <w:color w:val="auto"/>
            </w:rPr>
          </w:sdtEndPr>
          <w:sdtContent>
            <w:tc>
              <w:tcPr>
                <w:tcW w:w="9016" w:type="dxa"/>
                <w:tcMar>
                  <w:top w:w="113" w:type="dxa"/>
                  <w:bottom w:w="113" w:type="dxa"/>
                </w:tcMar>
              </w:tcPr>
              <w:p w14:paraId="21CD9242" w14:textId="77777777" w:rsidR="00D62F55" w:rsidRDefault="00D62F55" w:rsidP="00D62F55">
                <w:pPr>
                  <w:contextualSpacing/>
                  <w:rPr>
                    <w:lang w:val="en-IE"/>
                  </w:rPr>
                </w:pPr>
                <w:r w:rsidRPr="00D62F55">
                  <w:rPr>
                    <w:lang w:val="en-IE"/>
                  </w:rPr>
                  <w:t xml:space="preserve">Born into Dublin tenement life in 1880, Sean O’Casey (originally John O’Casey) went on to become one of Ireland’s most important playwrights, best known for his realist Dublin Trilogy, which premiered at the Abbey Theatre and included </w:t>
                </w:r>
                <w:r w:rsidRPr="00D62F55">
                  <w:rPr>
                    <w:i/>
                    <w:lang w:val="en-IE"/>
                  </w:rPr>
                  <w:t>The Shadow of a Gunman</w:t>
                </w:r>
                <w:r w:rsidRPr="00D62F55">
                  <w:rPr>
                    <w:lang w:val="en-IE"/>
                  </w:rPr>
                  <w:t xml:space="preserve"> (1923), </w:t>
                </w:r>
                <w:r w:rsidRPr="00D62F55">
                  <w:rPr>
                    <w:i/>
                    <w:lang w:val="en-IE"/>
                  </w:rPr>
                  <w:t>Juno and the Paycock</w:t>
                </w:r>
                <w:r w:rsidRPr="00D62F55">
                  <w:rPr>
                    <w:lang w:val="en-IE"/>
                  </w:rPr>
                  <w:t xml:space="preserve"> (1924), and </w:t>
                </w:r>
                <w:r w:rsidRPr="00D62F55">
                  <w:rPr>
                    <w:i/>
                    <w:lang w:val="en-IE"/>
                  </w:rPr>
                  <w:t>The Plough and the Stars</w:t>
                </w:r>
                <w:r w:rsidRPr="00D62F55">
                  <w:rPr>
                    <w:lang w:val="en-IE"/>
                  </w:rPr>
                  <w:t xml:space="preserve"> (1926). The four-act </w:t>
                </w:r>
                <w:r w:rsidRPr="00D62F55">
                  <w:rPr>
                    <w:i/>
                    <w:lang w:val="en-IE"/>
                  </w:rPr>
                  <w:t>Plough and the Stars</w:t>
                </w:r>
                <w:r w:rsidRPr="00D62F55">
                  <w:rPr>
                    <w:lang w:val="en-IE"/>
                  </w:rPr>
                  <w:t xml:space="preserve"> provoked riots on its second night as protestors objected to the play’s critique of Irish nationalism. O’Casey’s close association with the Abbey ended in 1928 when W. B. Yeats rejected his play about the First World War, </w:t>
                </w:r>
                <w:r w:rsidRPr="00D62F55">
                  <w:rPr>
                    <w:i/>
                    <w:lang w:val="en-IE"/>
                  </w:rPr>
                  <w:t>The Silver Tassie</w:t>
                </w:r>
                <w:r w:rsidRPr="00D62F55">
                  <w:rPr>
                    <w:lang w:val="en-IE"/>
                  </w:rPr>
                  <w:t xml:space="preserve">, which combined realism and expressionism. O’Casey had moved to England in 1926, where he married the actress Eileen Carey, and he continued to write politically focussed plays for English and American stages. He also wrote political essays and six volumes of autobiography. </w:t>
                </w:r>
              </w:p>
              <w:p w14:paraId="6670AA24" w14:textId="77777777" w:rsidR="007A0E3F" w:rsidRDefault="007A0E3F" w:rsidP="00D62F55">
                <w:pPr>
                  <w:contextualSpacing/>
                  <w:rPr>
                    <w:lang w:val="en-IE"/>
                  </w:rPr>
                </w:pPr>
              </w:p>
              <w:p w14:paraId="0B3C21D0" w14:textId="77777777" w:rsidR="007A0E3F" w:rsidRDefault="007A0E3F" w:rsidP="00D62F55">
                <w:pPr>
                  <w:contextualSpacing/>
                  <w:rPr>
                    <w:lang w:val="en-IE"/>
                  </w:rPr>
                </w:pPr>
                <w:r>
                  <w:rPr>
                    <w:lang w:val="en-IE"/>
                  </w:rPr>
                  <w:t>File: SeanO’Casey.jpg</w:t>
                </w:r>
              </w:p>
              <w:p w14:paraId="1CE9F045" w14:textId="77777777" w:rsidR="007A0E3F" w:rsidRPr="007A0E3F" w:rsidRDefault="007A0E3F" w:rsidP="007A0E3F">
                <w:pPr>
                  <w:pStyle w:val="Caption"/>
                  <w:rPr>
                    <w:sz w:val="22"/>
                    <w:szCs w:val="22"/>
                  </w:rPr>
                </w:pPr>
                <w:r>
                  <w:t xml:space="preserve">Figure </w:t>
                </w:r>
                <w:fldSimple w:instr=" SEQ Figure \* ARABIC ">
                  <w:r>
                    <w:rPr>
                      <w:noProof/>
                    </w:rPr>
                    <w:t>1</w:t>
                  </w:r>
                </w:fldSimple>
                <w:r>
                  <w:t xml:space="preserve"> Sean O'Casey</w:t>
                </w:r>
              </w:p>
              <w:p w14:paraId="55B35A63" w14:textId="77777777" w:rsidR="007A0E3F" w:rsidRPr="00D62F55" w:rsidRDefault="007A0E3F" w:rsidP="00D62F55">
                <w:pPr>
                  <w:contextualSpacing/>
                  <w:rPr>
                    <w:lang w:val="en-IE"/>
                  </w:rPr>
                </w:pPr>
                <w:r>
                  <w:rPr>
                    <w:lang w:val="en-IE"/>
                  </w:rPr>
                  <w:t xml:space="preserve">Source: </w:t>
                </w:r>
                <w:hyperlink r:id="rId9" w:history="1">
                  <w:r>
                    <w:rPr>
                      <w:rStyle w:val="Hyperlink"/>
                    </w:rPr>
                    <w:t>http://www.npg.org.uk/collections/search/portraitLarge/mw07743/Sean-OCasey</w:t>
                  </w:r>
                </w:hyperlink>
              </w:p>
              <w:p w14:paraId="5C9F6134" w14:textId="77777777" w:rsidR="00D62F55" w:rsidRPr="00D62F55" w:rsidRDefault="00D62F55" w:rsidP="00D62F55">
                <w:pPr>
                  <w:contextualSpacing/>
                  <w:rPr>
                    <w:lang w:val="en-IE"/>
                  </w:rPr>
                </w:pPr>
              </w:p>
              <w:p w14:paraId="6960EE8A" w14:textId="77777777" w:rsidR="00D62F55" w:rsidRPr="00D62F55" w:rsidRDefault="00D62F55" w:rsidP="00D62F55">
                <w:pPr>
                  <w:contextualSpacing/>
                  <w:rPr>
                    <w:lang w:val="en-IE"/>
                  </w:rPr>
                </w:pPr>
                <w:r w:rsidRPr="00D62F55">
                  <w:rPr>
                    <w:lang w:val="en-IE"/>
                  </w:rPr>
                  <w:t xml:space="preserve">O’Casey’s family were working-class Dubliners who struggled financially after his father was seriously injured, and O’Casey started work at age fourteen. This first-hand understanding of </w:t>
                </w:r>
                <w:r w:rsidRPr="00D62F55">
                  <w:rPr>
                    <w:lang w:val="en-IE"/>
                  </w:rPr>
                  <w:lastRenderedPageBreak/>
                  <w:t xml:space="preserve">gruelling poverty informed his life-long socialism and his involvement in the 1913 Dublin Lockout strike. In </w:t>
                </w:r>
                <w:r w:rsidRPr="00D62F55">
                  <w:rPr>
                    <w:i/>
                    <w:lang w:val="en-IE"/>
                  </w:rPr>
                  <w:t>The Plough and the Stars</w:t>
                </w:r>
                <w:r w:rsidRPr="00D62F55">
                  <w:rPr>
                    <w:lang w:val="en-IE"/>
                  </w:rPr>
                  <w:t xml:space="preserve">, his critique of nationalism centered on the disparity between the rhetoric of freedom through blood sacrifice and the hardships of working-class life. In </w:t>
                </w:r>
                <w:r w:rsidRPr="00D62F55">
                  <w:rPr>
                    <w:i/>
                    <w:lang w:val="en-IE"/>
                  </w:rPr>
                  <w:t>The Silver Tassie</w:t>
                </w:r>
                <w:r w:rsidRPr="00D62F55">
                  <w:rPr>
                    <w:lang w:val="en-IE"/>
                  </w:rPr>
                  <w:t xml:space="preserve">, he foregrounded the realities of working-class life again, this time against the backdrop of the First World War. Yeats and Lady Augusta Gregory rejected </w:t>
                </w:r>
                <w:r w:rsidRPr="00D62F55">
                  <w:rPr>
                    <w:i/>
                    <w:lang w:val="en-IE"/>
                  </w:rPr>
                  <w:t>The Silver Tassie</w:t>
                </w:r>
                <w:r w:rsidRPr="00D62F55" w:rsidDel="004F2905">
                  <w:rPr>
                    <w:lang w:val="en-IE"/>
                  </w:rPr>
                  <w:t xml:space="preserve"> </w:t>
                </w:r>
                <w:r w:rsidRPr="00D62F55">
                  <w:rPr>
                    <w:lang w:val="en-IE"/>
                  </w:rPr>
                  <w:t>for the Abbey because of its stylistic experimentation and O’Casey’s lack of first-hand knowledge of the trenches, to which O’Casey responded, ‘Does war consist only of battlefields?’ (</w:t>
                </w:r>
                <w:r w:rsidRPr="00D62F55">
                  <w:rPr>
                    <w:i/>
                    <w:lang w:val="en-IE"/>
                  </w:rPr>
                  <w:t>Letters</w:t>
                </w:r>
                <w:r w:rsidRPr="00D62F55">
                  <w:rPr>
                    <w:lang w:val="en-IE"/>
                  </w:rPr>
                  <w:t xml:space="preserve">, vol. 1, </w:t>
                </w:r>
                <w:r w:rsidRPr="00D62F55">
                  <w:t>271-3).</w:t>
                </w:r>
                <w:r w:rsidRPr="00D62F55">
                  <w:rPr>
                    <w:lang w:val="en-IE"/>
                  </w:rPr>
                  <w:t xml:space="preserve"> The play was produced in London in 1929 and finally received a short run at the Abbey in 1935. Although controversial in the 1920s, the Dublin Trilogy became one of the Abbey’s most profitable and in-demand productions in the 1930s and 40s.</w:t>
                </w:r>
              </w:p>
              <w:p w14:paraId="46AC1E7E" w14:textId="77777777" w:rsidR="00D62F55" w:rsidRPr="00D62F55" w:rsidRDefault="00D62F55" w:rsidP="00D62F55">
                <w:pPr>
                  <w:contextualSpacing/>
                  <w:rPr>
                    <w:lang w:val="en-IE"/>
                  </w:rPr>
                </w:pPr>
              </w:p>
              <w:p w14:paraId="541A9300" w14:textId="77777777" w:rsidR="00D62F55" w:rsidRPr="00D62F55" w:rsidRDefault="00D62F55" w:rsidP="00D62F55">
                <w:pPr>
                  <w:contextualSpacing/>
                  <w:rPr>
                    <w:lang w:val="en-IE"/>
                  </w:rPr>
                </w:pPr>
                <w:r w:rsidRPr="00D62F55">
                  <w:rPr>
                    <w:lang w:val="en-IE"/>
                  </w:rPr>
                  <w:t xml:space="preserve">O’Casey’s later works include </w:t>
                </w:r>
                <w:r w:rsidRPr="00D62F55">
                  <w:rPr>
                    <w:i/>
                    <w:lang w:val="en-IE"/>
                  </w:rPr>
                  <w:t>Within the Gates</w:t>
                </w:r>
                <w:r w:rsidRPr="00D62F55">
                  <w:rPr>
                    <w:lang w:val="en-IE"/>
                  </w:rPr>
                  <w:t xml:space="preserve"> (1934), about the tradition of Speakers’ Corner in London’s Hyde Park; the play was produced in London and New York, where he met Eugene O’Neill. O’Casey also continued to write drama informed by political concerns, including </w:t>
                </w:r>
                <w:r w:rsidRPr="00D62F55">
                  <w:rPr>
                    <w:i/>
                    <w:lang w:val="en-IE"/>
                  </w:rPr>
                  <w:t>The Star Turns Red</w:t>
                </w:r>
                <w:r w:rsidRPr="00D62F55">
                  <w:rPr>
                    <w:lang w:val="en-IE"/>
                  </w:rPr>
                  <w:t xml:space="preserve"> (1940), </w:t>
                </w:r>
                <w:r w:rsidRPr="00D62F55">
                  <w:rPr>
                    <w:i/>
                    <w:lang w:val="en-IE"/>
                  </w:rPr>
                  <w:t>Red Roses for Me</w:t>
                </w:r>
                <w:r w:rsidRPr="00D62F55">
                  <w:rPr>
                    <w:lang w:val="en-IE"/>
                  </w:rPr>
                  <w:t xml:space="preserve"> (1943), </w:t>
                </w:r>
                <w:r w:rsidRPr="00D62F55">
                  <w:rPr>
                    <w:i/>
                    <w:lang w:val="en-IE"/>
                  </w:rPr>
                  <w:t>Purple Dust</w:t>
                </w:r>
                <w:r w:rsidRPr="00D62F55">
                  <w:rPr>
                    <w:lang w:val="en-IE"/>
                  </w:rPr>
                  <w:t xml:space="preserve"> (1943), and </w:t>
                </w:r>
                <w:r w:rsidRPr="00D62F55">
                  <w:rPr>
                    <w:i/>
                    <w:lang w:val="en-IE"/>
                  </w:rPr>
                  <w:t>Cock-a-Doodle Dandy</w:t>
                </w:r>
                <w:r w:rsidRPr="00D62F55">
                  <w:rPr>
                    <w:lang w:val="en-IE"/>
                  </w:rPr>
                  <w:t xml:space="preserve"> (1949). These plays sustained his formal experimentation and exploitation of the disruptive potential of comedy. </w:t>
                </w:r>
              </w:p>
              <w:p w14:paraId="1A864EEE" w14:textId="77777777" w:rsidR="00D62F55" w:rsidRPr="00D62F55" w:rsidRDefault="00D62F55" w:rsidP="00D62F55">
                <w:pPr>
                  <w:contextualSpacing/>
                  <w:rPr>
                    <w:lang w:val="en-IE"/>
                  </w:rPr>
                </w:pPr>
              </w:p>
              <w:p w14:paraId="2D8EB177" w14:textId="77777777" w:rsidR="00D62F55" w:rsidRPr="00D62F55" w:rsidRDefault="00D62F55" w:rsidP="00D62F55">
                <w:pPr>
                  <w:rPr>
                    <w:lang w:val="en-IE"/>
                  </w:rPr>
                </w:pPr>
                <w:r w:rsidRPr="00D62F55">
                  <w:rPr>
                    <w:lang w:val="en-IE"/>
                  </w:rPr>
                  <w:t xml:space="preserve">O’Casey struggled with his work being banned, both in Ireland and elsewhere. In 1939, the first volume of his autobiographies, </w:t>
                </w:r>
                <w:r w:rsidRPr="00D62F55">
                  <w:rPr>
                    <w:i/>
                    <w:lang w:val="en-IE"/>
                  </w:rPr>
                  <w:t>I Knock at the Door</w:t>
                </w:r>
                <w:r w:rsidRPr="00D62F55">
                  <w:rPr>
                    <w:lang w:val="en-IE"/>
                  </w:rPr>
                  <w:t xml:space="preserve">, was banned in Ireland due to its frank sexual content. When his play </w:t>
                </w:r>
                <w:r w:rsidRPr="00D62F55">
                  <w:rPr>
                    <w:i/>
                    <w:lang w:val="en-IE"/>
                  </w:rPr>
                  <w:t>The Drums of Father Ned</w:t>
                </w:r>
                <w:r w:rsidRPr="00D62F55">
                  <w:rPr>
                    <w:lang w:val="en-IE"/>
                  </w:rPr>
                  <w:t xml:space="preserve"> had its production shut down under duress from the Archbishop of Dublin in 1955, he responded by refusing any further production of his plays in Ireland, a ban which he only lifted in 1964, the year of his death.</w:t>
                </w:r>
              </w:p>
              <w:p w14:paraId="563AF420" w14:textId="77777777" w:rsidR="00D62F55" w:rsidRPr="00D62F55" w:rsidRDefault="00D62F55" w:rsidP="00D62F55">
                <w:pPr>
                  <w:rPr>
                    <w:lang w:val="en-IE"/>
                  </w:rPr>
                </w:pPr>
              </w:p>
              <w:p w14:paraId="2EB45DEC" w14:textId="4D3BAAE5" w:rsidR="00D62F55" w:rsidRPr="00D62F55" w:rsidRDefault="00D62F55" w:rsidP="00E60D29">
                <w:pPr>
                  <w:pStyle w:val="Heading1"/>
                  <w:rPr>
                    <w:lang w:val="en-IE"/>
                  </w:rPr>
                </w:pPr>
                <w:r w:rsidRPr="00D62F55">
                  <w:rPr>
                    <w:lang w:val="en-IE"/>
                  </w:rPr>
                  <w:t>List of Works</w:t>
                </w:r>
                <w:r w:rsidR="00E60D29">
                  <w:rPr>
                    <w:lang w:val="en-IE"/>
                  </w:rPr>
                  <w:t>:</w:t>
                </w:r>
              </w:p>
              <w:p w14:paraId="5883E898" w14:textId="5783F319" w:rsidR="00D62F55" w:rsidRPr="00D62F55" w:rsidRDefault="00D62F55" w:rsidP="00E60D29">
                <w:pPr>
                  <w:rPr>
                    <w:lang w:val="en-IE"/>
                  </w:rPr>
                </w:pPr>
                <w:r w:rsidRPr="00D62F55">
                  <w:rPr>
                    <w:i/>
                    <w:lang w:val="en-IE"/>
                  </w:rPr>
                  <w:t>Autobiographies</w:t>
                </w:r>
                <w:r w:rsidR="00E60D29">
                  <w:rPr>
                    <w:lang w:val="en-IE"/>
                  </w:rPr>
                  <w:t xml:space="preserve"> </w:t>
                </w:r>
                <w:r w:rsidR="00E60D29" w:rsidRPr="00D62F55">
                  <w:rPr>
                    <w:lang w:val="en-IE"/>
                  </w:rPr>
                  <w:t>(</w:t>
                </w:r>
                <w:r w:rsidR="00E60D29">
                  <w:rPr>
                    <w:lang w:val="en-IE"/>
                  </w:rPr>
                  <w:t xml:space="preserve">2 vols., </w:t>
                </w:r>
                <w:r w:rsidR="00E60D29" w:rsidRPr="00D62F55">
                  <w:rPr>
                    <w:lang w:val="en-IE"/>
                  </w:rPr>
                  <w:t>1980)</w:t>
                </w:r>
              </w:p>
              <w:p w14:paraId="577F0275" w14:textId="1E770DBA" w:rsidR="00D62F55" w:rsidRPr="00D62F55" w:rsidRDefault="00D62F55" w:rsidP="00E60D29">
                <w:pPr>
                  <w:rPr>
                    <w:lang w:val="en-IE"/>
                  </w:rPr>
                </w:pPr>
                <w:r w:rsidRPr="00D62F55">
                  <w:rPr>
                    <w:i/>
                    <w:lang w:val="en-IE"/>
                  </w:rPr>
                  <w:t>Collected Plays</w:t>
                </w:r>
                <w:r w:rsidR="00E60D29">
                  <w:rPr>
                    <w:lang w:val="en-IE"/>
                  </w:rPr>
                  <w:t>, (4 vols.</w:t>
                </w:r>
                <w:r w:rsidR="00E60D29" w:rsidRPr="00D62F55">
                  <w:rPr>
                    <w:lang w:val="en-IE"/>
                  </w:rPr>
                  <w:t xml:space="preserve"> </w:t>
                </w:r>
                <w:r w:rsidR="00E60D29" w:rsidRPr="00D62F55">
                  <w:rPr>
                    <w:lang w:val="en-IE"/>
                  </w:rPr>
                  <w:t>1951)</w:t>
                </w:r>
              </w:p>
              <w:p w14:paraId="3E8E2A48" w14:textId="57952734" w:rsidR="00D62F55" w:rsidRPr="00D62F55" w:rsidRDefault="00D62F55" w:rsidP="00E60D29">
                <w:pPr>
                  <w:rPr>
                    <w:lang w:val="en-IE"/>
                  </w:rPr>
                </w:pPr>
                <w:r w:rsidRPr="00D62F55">
                  <w:rPr>
                    <w:i/>
                    <w:lang w:val="en-IE"/>
                  </w:rPr>
                  <w:t>The Letters of Sean O’Casey</w:t>
                </w:r>
                <w:r w:rsidR="00E60D29">
                  <w:rPr>
                    <w:lang w:val="en-IE"/>
                  </w:rPr>
                  <w:t xml:space="preserve"> (4 vols. </w:t>
                </w:r>
                <w:r w:rsidR="00E60D29" w:rsidRPr="00D62F55">
                  <w:rPr>
                    <w:lang w:val="en-IE"/>
                  </w:rPr>
                  <w:t>1975)</w:t>
                </w:r>
              </w:p>
              <w:p w14:paraId="6EF8D595" w14:textId="7C8FEFB4" w:rsidR="003F0D73" w:rsidRPr="00D62F55" w:rsidRDefault="00D62F55" w:rsidP="00E60D29">
                <w:pPr>
                  <w:rPr>
                    <w:lang w:val="en-IE"/>
                  </w:rPr>
                </w:pPr>
                <w:r w:rsidRPr="00D62F55">
                  <w:rPr>
                    <w:i/>
                    <w:lang w:val="en-IE"/>
                  </w:rPr>
                  <w:t>Three Dublin Plays</w:t>
                </w:r>
                <w:r w:rsidR="00E60D29">
                  <w:rPr>
                    <w:lang w:val="en-IE"/>
                  </w:rPr>
                  <w:t xml:space="preserve"> </w:t>
                </w:r>
                <w:r w:rsidR="00E60D29" w:rsidRPr="00D62F55">
                  <w:rPr>
                    <w:lang w:val="en-IE"/>
                  </w:rPr>
                  <w:t>(1998)</w:t>
                </w:r>
              </w:p>
            </w:tc>
          </w:sdtContent>
        </w:sdt>
      </w:tr>
      <w:tr w:rsidR="003235A7" w:rsidRPr="00D62F55" w14:paraId="2045CC8F" w14:textId="77777777" w:rsidTr="003235A7">
        <w:tc>
          <w:tcPr>
            <w:tcW w:w="9016" w:type="dxa"/>
          </w:tcPr>
          <w:p w14:paraId="27A0350C" w14:textId="38EBCDA5" w:rsidR="00D62F55" w:rsidRPr="00D62F55" w:rsidRDefault="003235A7" w:rsidP="008A5B87">
            <w:r w:rsidRPr="00D62F55">
              <w:rPr>
                <w:u w:val="single"/>
              </w:rPr>
              <w:lastRenderedPageBreak/>
              <w:t>Further reading</w:t>
            </w:r>
            <w:r w:rsidRPr="00D62F55">
              <w:t>:</w:t>
            </w:r>
            <w:bookmarkStart w:id="0" w:name="_GoBack"/>
            <w:bookmarkEnd w:id="0"/>
          </w:p>
          <w:sdt>
            <w:sdtPr>
              <w:alias w:val="Further reading"/>
              <w:tag w:val="furtherReading"/>
              <w:id w:val="-1516217107"/>
              <w:placeholder>
                <w:docPart w:val="9B677502E981494890BC6517C1894E81"/>
              </w:placeholder>
            </w:sdtPr>
            <w:sdtEndPr/>
            <w:sdtContent>
              <w:p w14:paraId="481FD91D" w14:textId="77777777" w:rsidR="00D62F55" w:rsidRPr="00D62F55" w:rsidRDefault="00E60D29" w:rsidP="00D62F55">
                <w:sdt>
                  <w:sdtPr>
                    <w:id w:val="343054069"/>
                    <w:citation/>
                  </w:sdtPr>
                  <w:sdtEndPr/>
                  <w:sdtContent>
                    <w:r w:rsidR="00D62F55" w:rsidRPr="00D62F55">
                      <w:fldChar w:fldCharType="begin"/>
                    </w:r>
                    <w:r w:rsidR="00D62F55" w:rsidRPr="00D62F55">
                      <w:rPr>
                        <w:lang w:val="en-US"/>
                      </w:rPr>
                      <w:instrText xml:space="preserve"> CITATION Kil75 \l 1033 </w:instrText>
                    </w:r>
                    <w:r w:rsidR="00D62F55" w:rsidRPr="00D62F55">
                      <w:fldChar w:fldCharType="separate"/>
                    </w:r>
                    <w:r w:rsidR="00D62F55" w:rsidRPr="00D62F55">
                      <w:rPr>
                        <w:noProof/>
                        <w:lang w:val="en-US"/>
                      </w:rPr>
                      <w:t xml:space="preserve"> (Kilroy)</w:t>
                    </w:r>
                    <w:r w:rsidR="00D62F55" w:rsidRPr="00D62F55">
                      <w:fldChar w:fldCharType="end"/>
                    </w:r>
                  </w:sdtContent>
                </w:sdt>
              </w:p>
              <w:p w14:paraId="08D8F984" w14:textId="77777777" w:rsidR="00D62F55" w:rsidRPr="00D62F55" w:rsidRDefault="00D62F55" w:rsidP="00D62F55"/>
              <w:p w14:paraId="06E8F77A" w14:textId="77777777" w:rsidR="00D62F55" w:rsidRPr="00D62F55" w:rsidRDefault="00E60D29" w:rsidP="00D62F55">
                <w:sdt>
                  <w:sdtPr>
                    <w:id w:val="1466242007"/>
                    <w:citation/>
                  </w:sdtPr>
                  <w:sdtEndPr/>
                  <w:sdtContent>
                    <w:r w:rsidR="00D62F55" w:rsidRPr="00D62F55">
                      <w:fldChar w:fldCharType="begin"/>
                    </w:r>
                    <w:r w:rsidR="00D62F55" w:rsidRPr="00D62F55">
                      <w:rPr>
                        <w:lang w:val="en-US"/>
                      </w:rPr>
                      <w:instrText xml:space="preserve"> CITATION Kra79 \l 1033 </w:instrText>
                    </w:r>
                    <w:r w:rsidR="00D62F55" w:rsidRPr="00D62F55">
                      <w:fldChar w:fldCharType="separate"/>
                    </w:r>
                    <w:r w:rsidR="00D62F55" w:rsidRPr="00D62F55">
                      <w:rPr>
                        <w:noProof/>
                        <w:lang w:val="en-US"/>
                      </w:rPr>
                      <w:t>(Krause)</w:t>
                    </w:r>
                    <w:r w:rsidR="00D62F55" w:rsidRPr="00D62F55">
                      <w:fldChar w:fldCharType="end"/>
                    </w:r>
                  </w:sdtContent>
                </w:sdt>
              </w:p>
              <w:p w14:paraId="326AB17A" w14:textId="77777777" w:rsidR="00D62F55" w:rsidRPr="00D62F55" w:rsidRDefault="00D62F55" w:rsidP="00D62F55"/>
              <w:p w14:paraId="42276AF7" w14:textId="77777777" w:rsidR="00D62F55" w:rsidRPr="00D62F55" w:rsidRDefault="00E60D29" w:rsidP="00D62F55">
                <w:sdt>
                  <w:sdtPr>
                    <w:id w:val="745142170"/>
                    <w:citation/>
                  </w:sdtPr>
                  <w:sdtEndPr/>
                  <w:sdtContent>
                    <w:r w:rsidR="00D62F55" w:rsidRPr="00D62F55">
                      <w:fldChar w:fldCharType="begin"/>
                    </w:r>
                    <w:r w:rsidR="00D62F55" w:rsidRPr="00D62F55">
                      <w:rPr>
                        <w:lang w:val="en-US"/>
                      </w:rPr>
                      <w:instrText xml:space="preserve"> CITATION Kra80 \l 1033 </w:instrText>
                    </w:r>
                    <w:r w:rsidR="00D62F55" w:rsidRPr="00D62F55">
                      <w:fldChar w:fldCharType="separate"/>
                    </w:r>
                    <w:r w:rsidR="00D62F55" w:rsidRPr="00D62F55">
                      <w:rPr>
                        <w:noProof/>
                        <w:lang w:val="en-US"/>
                      </w:rPr>
                      <w:t>(Krause and Lowery, Sean O’Casey: Centenary Essays)</w:t>
                    </w:r>
                    <w:r w:rsidR="00D62F55" w:rsidRPr="00D62F55">
                      <w:fldChar w:fldCharType="end"/>
                    </w:r>
                  </w:sdtContent>
                </w:sdt>
              </w:p>
              <w:p w14:paraId="7D3F50CE" w14:textId="77777777" w:rsidR="00D62F55" w:rsidRPr="00D62F55" w:rsidRDefault="00D62F55" w:rsidP="00D62F55"/>
              <w:p w14:paraId="010BEF31" w14:textId="77777777" w:rsidR="00D62F55" w:rsidRPr="00D62F55" w:rsidRDefault="00E60D29" w:rsidP="00D62F55">
                <w:sdt>
                  <w:sdtPr>
                    <w:id w:val="753240933"/>
                    <w:citation/>
                  </w:sdtPr>
                  <w:sdtEndPr/>
                  <w:sdtContent>
                    <w:r w:rsidR="00D62F55" w:rsidRPr="00D62F55">
                      <w:fldChar w:fldCharType="begin"/>
                    </w:r>
                    <w:r w:rsidR="00D62F55" w:rsidRPr="00D62F55">
                      <w:rPr>
                        <w:lang w:val="en-US"/>
                      </w:rPr>
                      <w:instrText xml:space="preserve"> CITATION Mor13 \l 1033 </w:instrText>
                    </w:r>
                    <w:r w:rsidR="00D62F55" w:rsidRPr="00D62F55">
                      <w:fldChar w:fldCharType="separate"/>
                    </w:r>
                    <w:r w:rsidR="00D62F55" w:rsidRPr="00D62F55">
                      <w:rPr>
                        <w:noProof/>
                        <w:lang w:val="en-US"/>
                      </w:rPr>
                      <w:t>(Moran)</w:t>
                    </w:r>
                    <w:r w:rsidR="00D62F55" w:rsidRPr="00D62F55">
                      <w:fldChar w:fldCharType="end"/>
                    </w:r>
                  </w:sdtContent>
                </w:sdt>
              </w:p>
              <w:p w14:paraId="41E3E41F" w14:textId="77777777" w:rsidR="00D62F55" w:rsidRPr="00D62F55" w:rsidRDefault="00D62F55" w:rsidP="00D62F55"/>
              <w:p w14:paraId="5EB35161" w14:textId="77777777" w:rsidR="003235A7" w:rsidRPr="00D62F55" w:rsidRDefault="00E60D29" w:rsidP="007A0E3F">
                <w:pPr>
                  <w:keepNext/>
                </w:pPr>
                <w:sdt>
                  <w:sdtPr>
                    <w:id w:val="-881558845"/>
                    <w:citation/>
                  </w:sdtPr>
                  <w:sdtEndPr/>
                  <w:sdtContent>
                    <w:r w:rsidR="00D62F55" w:rsidRPr="00D62F55">
                      <w:fldChar w:fldCharType="begin"/>
                    </w:r>
                    <w:r w:rsidR="00D62F55" w:rsidRPr="00D62F55">
                      <w:rPr>
                        <w:lang w:val="en-US"/>
                      </w:rPr>
                      <w:instrText xml:space="preserve"> CITATION Mur06 \l 1033 </w:instrText>
                    </w:r>
                    <w:r w:rsidR="00D62F55" w:rsidRPr="00D62F55">
                      <w:fldChar w:fldCharType="separate"/>
                    </w:r>
                    <w:r w:rsidR="00D62F55" w:rsidRPr="00D62F55">
                      <w:rPr>
                        <w:noProof/>
                        <w:lang w:val="en-US"/>
                      </w:rPr>
                      <w:t>(Murray)</w:t>
                    </w:r>
                    <w:r w:rsidR="00D62F55" w:rsidRPr="00D62F55">
                      <w:fldChar w:fldCharType="end"/>
                    </w:r>
                  </w:sdtContent>
                </w:sdt>
              </w:p>
            </w:sdtContent>
          </w:sdt>
        </w:tc>
      </w:tr>
    </w:tbl>
    <w:p w14:paraId="30C54704" w14:textId="77777777" w:rsidR="00C27FAB" w:rsidRPr="00D62F55" w:rsidRDefault="00C27FAB" w:rsidP="007A0E3F">
      <w:pPr>
        <w:pStyle w:val="Caption"/>
        <w:rPr>
          <w:sz w:val="22"/>
          <w:szCs w:val="22"/>
        </w:rPr>
      </w:pPr>
    </w:p>
    <w:sectPr w:rsidR="00C27FAB" w:rsidRPr="00D62F55">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FFABAA" w14:textId="77777777" w:rsidR="00D62F55" w:rsidRDefault="00D62F55" w:rsidP="007A0D55">
      <w:pPr>
        <w:spacing w:after="0" w:line="240" w:lineRule="auto"/>
      </w:pPr>
      <w:r>
        <w:separator/>
      </w:r>
    </w:p>
  </w:endnote>
  <w:endnote w:type="continuationSeparator" w:id="0">
    <w:p w14:paraId="424523F8" w14:textId="77777777" w:rsidR="00D62F55" w:rsidRDefault="00D62F5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933276" w14:textId="77777777" w:rsidR="00D62F55" w:rsidRDefault="00D62F55" w:rsidP="007A0D55">
      <w:pPr>
        <w:spacing w:after="0" w:line="240" w:lineRule="auto"/>
      </w:pPr>
      <w:r>
        <w:separator/>
      </w:r>
    </w:p>
  </w:footnote>
  <w:footnote w:type="continuationSeparator" w:id="0">
    <w:p w14:paraId="399DFEEB" w14:textId="77777777" w:rsidR="00D62F55" w:rsidRDefault="00D62F5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370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B442E3F"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F5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0E3F"/>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2F55"/>
    <w:rsid w:val="00D656DA"/>
    <w:rsid w:val="00D83300"/>
    <w:rsid w:val="00DC6B48"/>
    <w:rsid w:val="00DF01B0"/>
    <w:rsid w:val="00E60D2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9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2F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2F55"/>
    <w:rPr>
      <w:rFonts w:ascii="Lucida Grande" w:hAnsi="Lucida Grande" w:cs="Lucida Grande"/>
      <w:sz w:val="18"/>
      <w:szCs w:val="18"/>
    </w:rPr>
  </w:style>
  <w:style w:type="character" w:styleId="CommentReference">
    <w:name w:val="annotation reference"/>
    <w:basedOn w:val="DefaultParagraphFont"/>
    <w:uiPriority w:val="99"/>
    <w:semiHidden/>
    <w:unhideWhenUsed/>
    <w:rsid w:val="00D62F55"/>
    <w:rPr>
      <w:sz w:val="16"/>
      <w:szCs w:val="16"/>
    </w:rPr>
  </w:style>
  <w:style w:type="paragraph" w:styleId="CommentText">
    <w:name w:val="annotation text"/>
    <w:basedOn w:val="Normal"/>
    <w:link w:val="CommentTextChar"/>
    <w:uiPriority w:val="99"/>
    <w:semiHidden/>
    <w:unhideWhenUsed/>
    <w:rsid w:val="00D62F55"/>
    <w:pPr>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D62F55"/>
    <w:rPr>
      <w:rFonts w:ascii="Times New Roman" w:hAnsi="Times New Roman"/>
      <w:sz w:val="20"/>
      <w:szCs w:val="20"/>
    </w:rPr>
  </w:style>
  <w:style w:type="paragraph" w:styleId="Caption">
    <w:name w:val="caption"/>
    <w:basedOn w:val="Normal"/>
    <w:next w:val="Normal"/>
    <w:uiPriority w:val="35"/>
    <w:semiHidden/>
    <w:qFormat/>
    <w:rsid w:val="007A0E3F"/>
    <w:pPr>
      <w:spacing w:after="200" w:line="240" w:lineRule="auto"/>
    </w:pPr>
    <w:rPr>
      <w:b/>
      <w:bCs/>
      <w:color w:val="5B9BD5" w:themeColor="accent1"/>
      <w:sz w:val="18"/>
      <w:szCs w:val="18"/>
    </w:rPr>
  </w:style>
  <w:style w:type="character" w:styleId="Hyperlink">
    <w:name w:val="Hyperlink"/>
    <w:basedOn w:val="DefaultParagraphFont"/>
    <w:unhideWhenUsed/>
    <w:rsid w:val="007A0E3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62F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62F55"/>
    <w:rPr>
      <w:rFonts w:ascii="Lucida Grande" w:hAnsi="Lucida Grande" w:cs="Lucida Grande"/>
      <w:sz w:val="18"/>
      <w:szCs w:val="18"/>
    </w:rPr>
  </w:style>
  <w:style w:type="character" w:styleId="CommentReference">
    <w:name w:val="annotation reference"/>
    <w:basedOn w:val="DefaultParagraphFont"/>
    <w:uiPriority w:val="99"/>
    <w:semiHidden/>
    <w:unhideWhenUsed/>
    <w:rsid w:val="00D62F55"/>
    <w:rPr>
      <w:sz w:val="16"/>
      <w:szCs w:val="16"/>
    </w:rPr>
  </w:style>
  <w:style w:type="paragraph" w:styleId="CommentText">
    <w:name w:val="annotation text"/>
    <w:basedOn w:val="Normal"/>
    <w:link w:val="CommentTextChar"/>
    <w:uiPriority w:val="99"/>
    <w:semiHidden/>
    <w:unhideWhenUsed/>
    <w:rsid w:val="00D62F55"/>
    <w:pPr>
      <w:spacing w:after="20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semiHidden/>
    <w:rsid w:val="00D62F55"/>
    <w:rPr>
      <w:rFonts w:ascii="Times New Roman" w:hAnsi="Times New Roman"/>
      <w:sz w:val="20"/>
      <w:szCs w:val="20"/>
    </w:rPr>
  </w:style>
  <w:style w:type="paragraph" w:styleId="Caption">
    <w:name w:val="caption"/>
    <w:basedOn w:val="Normal"/>
    <w:next w:val="Normal"/>
    <w:uiPriority w:val="35"/>
    <w:semiHidden/>
    <w:qFormat/>
    <w:rsid w:val="007A0E3F"/>
    <w:pPr>
      <w:spacing w:after="200" w:line="240" w:lineRule="auto"/>
    </w:pPr>
    <w:rPr>
      <w:b/>
      <w:bCs/>
      <w:color w:val="5B9BD5" w:themeColor="accent1"/>
      <w:sz w:val="18"/>
      <w:szCs w:val="18"/>
    </w:rPr>
  </w:style>
  <w:style w:type="character" w:styleId="Hyperlink">
    <w:name w:val="Hyperlink"/>
    <w:basedOn w:val="DefaultParagraphFont"/>
    <w:unhideWhenUsed/>
    <w:rsid w:val="007A0E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pg.org.uk/collections/search/portraitLarge/mw07743/Sean-OCasey"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08C324691854847A642A8F33B67DE0C"/>
        <w:category>
          <w:name w:val="General"/>
          <w:gallery w:val="placeholder"/>
        </w:category>
        <w:types>
          <w:type w:val="bbPlcHdr"/>
        </w:types>
        <w:behaviors>
          <w:behavior w:val="content"/>
        </w:behaviors>
        <w:guid w:val="{C7190602-91AC-0743-BB47-E788F4B10CF1}"/>
      </w:docPartPr>
      <w:docPartBody>
        <w:p w:rsidR="000A548D" w:rsidRDefault="000A548D">
          <w:pPr>
            <w:pStyle w:val="F08C324691854847A642A8F33B67DE0C"/>
          </w:pPr>
          <w:r w:rsidRPr="00CC586D">
            <w:rPr>
              <w:rStyle w:val="PlaceholderText"/>
              <w:b/>
              <w:color w:val="FFFFFF" w:themeColor="background1"/>
            </w:rPr>
            <w:t>[Salutation]</w:t>
          </w:r>
        </w:p>
      </w:docPartBody>
    </w:docPart>
    <w:docPart>
      <w:docPartPr>
        <w:name w:val="0207101F64EEA94A9FDC23DEC5138195"/>
        <w:category>
          <w:name w:val="General"/>
          <w:gallery w:val="placeholder"/>
        </w:category>
        <w:types>
          <w:type w:val="bbPlcHdr"/>
        </w:types>
        <w:behaviors>
          <w:behavior w:val="content"/>
        </w:behaviors>
        <w:guid w:val="{E516B366-EA39-CC42-85E8-3CF0D5568EEC}"/>
      </w:docPartPr>
      <w:docPartBody>
        <w:p w:rsidR="000A548D" w:rsidRDefault="000A548D">
          <w:pPr>
            <w:pStyle w:val="0207101F64EEA94A9FDC23DEC5138195"/>
          </w:pPr>
          <w:r>
            <w:rPr>
              <w:rStyle w:val="PlaceholderText"/>
            </w:rPr>
            <w:t>[First name]</w:t>
          </w:r>
        </w:p>
      </w:docPartBody>
    </w:docPart>
    <w:docPart>
      <w:docPartPr>
        <w:name w:val="154AEF002DC3E74BA2E6FDA518F9A51B"/>
        <w:category>
          <w:name w:val="General"/>
          <w:gallery w:val="placeholder"/>
        </w:category>
        <w:types>
          <w:type w:val="bbPlcHdr"/>
        </w:types>
        <w:behaviors>
          <w:behavior w:val="content"/>
        </w:behaviors>
        <w:guid w:val="{796FA0BD-2259-494D-8F37-4E03826665AC}"/>
      </w:docPartPr>
      <w:docPartBody>
        <w:p w:rsidR="000A548D" w:rsidRDefault="000A548D">
          <w:pPr>
            <w:pStyle w:val="154AEF002DC3E74BA2E6FDA518F9A51B"/>
          </w:pPr>
          <w:r>
            <w:rPr>
              <w:rStyle w:val="PlaceholderText"/>
            </w:rPr>
            <w:t>[Middle name]</w:t>
          </w:r>
        </w:p>
      </w:docPartBody>
    </w:docPart>
    <w:docPart>
      <w:docPartPr>
        <w:name w:val="8C3F2E456ACF4149B57F1F1F84F46A7A"/>
        <w:category>
          <w:name w:val="General"/>
          <w:gallery w:val="placeholder"/>
        </w:category>
        <w:types>
          <w:type w:val="bbPlcHdr"/>
        </w:types>
        <w:behaviors>
          <w:behavior w:val="content"/>
        </w:behaviors>
        <w:guid w:val="{BC78D938-1103-0C41-A16D-3E9B4C55365A}"/>
      </w:docPartPr>
      <w:docPartBody>
        <w:p w:rsidR="000A548D" w:rsidRDefault="000A548D">
          <w:pPr>
            <w:pStyle w:val="8C3F2E456ACF4149B57F1F1F84F46A7A"/>
          </w:pPr>
          <w:r>
            <w:rPr>
              <w:rStyle w:val="PlaceholderText"/>
            </w:rPr>
            <w:t>[Last name]</w:t>
          </w:r>
        </w:p>
      </w:docPartBody>
    </w:docPart>
    <w:docPart>
      <w:docPartPr>
        <w:name w:val="DA9E154C1EC0CE4DA03A97B8DCC8CE6A"/>
        <w:category>
          <w:name w:val="General"/>
          <w:gallery w:val="placeholder"/>
        </w:category>
        <w:types>
          <w:type w:val="bbPlcHdr"/>
        </w:types>
        <w:behaviors>
          <w:behavior w:val="content"/>
        </w:behaviors>
        <w:guid w:val="{19537BEE-1045-BB4C-A68A-4CA433F70982}"/>
      </w:docPartPr>
      <w:docPartBody>
        <w:p w:rsidR="000A548D" w:rsidRDefault="000A548D">
          <w:pPr>
            <w:pStyle w:val="DA9E154C1EC0CE4DA03A97B8DCC8CE6A"/>
          </w:pPr>
          <w:r>
            <w:rPr>
              <w:rStyle w:val="PlaceholderText"/>
            </w:rPr>
            <w:t>[Enter your biography]</w:t>
          </w:r>
        </w:p>
      </w:docPartBody>
    </w:docPart>
    <w:docPart>
      <w:docPartPr>
        <w:name w:val="9A95DADF36035D438D7E5793513F901A"/>
        <w:category>
          <w:name w:val="General"/>
          <w:gallery w:val="placeholder"/>
        </w:category>
        <w:types>
          <w:type w:val="bbPlcHdr"/>
        </w:types>
        <w:behaviors>
          <w:behavior w:val="content"/>
        </w:behaviors>
        <w:guid w:val="{47E44046-D79D-8046-A877-82AA743B69D0}"/>
      </w:docPartPr>
      <w:docPartBody>
        <w:p w:rsidR="000A548D" w:rsidRDefault="000A548D">
          <w:pPr>
            <w:pStyle w:val="9A95DADF36035D438D7E5793513F901A"/>
          </w:pPr>
          <w:r>
            <w:rPr>
              <w:rStyle w:val="PlaceholderText"/>
            </w:rPr>
            <w:t>[Enter the institution with which you are affiliated]</w:t>
          </w:r>
        </w:p>
      </w:docPartBody>
    </w:docPart>
    <w:docPart>
      <w:docPartPr>
        <w:name w:val="168D6D7427BF9D4AAEC84BFACA9CEB51"/>
        <w:category>
          <w:name w:val="General"/>
          <w:gallery w:val="placeholder"/>
        </w:category>
        <w:types>
          <w:type w:val="bbPlcHdr"/>
        </w:types>
        <w:behaviors>
          <w:behavior w:val="content"/>
        </w:behaviors>
        <w:guid w:val="{5006DFBC-1BFC-E14C-9319-B2FCBCEF3D7B}"/>
      </w:docPartPr>
      <w:docPartBody>
        <w:p w:rsidR="000A548D" w:rsidRDefault="000A548D">
          <w:pPr>
            <w:pStyle w:val="168D6D7427BF9D4AAEC84BFACA9CEB51"/>
          </w:pPr>
          <w:r w:rsidRPr="00EF74F7">
            <w:rPr>
              <w:b/>
              <w:color w:val="808080" w:themeColor="background1" w:themeShade="80"/>
            </w:rPr>
            <w:t>[Enter the headword for your article]</w:t>
          </w:r>
        </w:p>
      </w:docPartBody>
    </w:docPart>
    <w:docPart>
      <w:docPartPr>
        <w:name w:val="0511DA7720B2544A8E370D8BF9FFDBCA"/>
        <w:category>
          <w:name w:val="General"/>
          <w:gallery w:val="placeholder"/>
        </w:category>
        <w:types>
          <w:type w:val="bbPlcHdr"/>
        </w:types>
        <w:behaviors>
          <w:behavior w:val="content"/>
        </w:behaviors>
        <w:guid w:val="{2A9FAA3C-CE4E-CF49-B663-2EEE06CEDFF8}"/>
      </w:docPartPr>
      <w:docPartBody>
        <w:p w:rsidR="000A548D" w:rsidRDefault="000A548D">
          <w:pPr>
            <w:pStyle w:val="0511DA7720B2544A8E370D8BF9FFDBC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B32C1CD20680E4389A1B7E4E87EE18A"/>
        <w:category>
          <w:name w:val="General"/>
          <w:gallery w:val="placeholder"/>
        </w:category>
        <w:types>
          <w:type w:val="bbPlcHdr"/>
        </w:types>
        <w:behaviors>
          <w:behavior w:val="content"/>
        </w:behaviors>
        <w:guid w:val="{97E23372-3790-614D-8504-C5DF3B1671F9}"/>
      </w:docPartPr>
      <w:docPartBody>
        <w:p w:rsidR="000A548D" w:rsidRDefault="000A548D">
          <w:pPr>
            <w:pStyle w:val="FB32C1CD20680E4389A1B7E4E87EE1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0E4A615336E84AAF327052AD160797"/>
        <w:category>
          <w:name w:val="General"/>
          <w:gallery w:val="placeholder"/>
        </w:category>
        <w:types>
          <w:type w:val="bbPlcHdr"/>
        </w:types>
        <w:behaviors>
          <w:behavior w:val="content"/>
        </w:behaviors>
        <w:guid w:val="{629C3331-03E0-F042-B12B-00833DBA1DD3}"/>
      </w:docPartPr>
      <w:docPartBody>
        <w:p w:rsidR="000A548D" w:rsidRDefault="000A548D">
          <w:pPr>
            <w:pStyle w:val="6E0E4A615336E84AAF327052AD16079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B677502E981494890BC6517C1894E81"/>
        <w:category>
          <w:name w:val="General"/>
          <w:gallery w:val="placeholder"/>
        </w:category>
        <w:types>
          <w:type w:val="bbPlcHdr"/>
        </w:types>
        <w:behaviors>
          <w:behavior w:val="content"/>
        </w:behaviors>
        <w:guid w:val="{6774909A-170D-1F4F-8FAA-8CCADAC2058B}"/>
      </w:docPartPr>
      <w:docPartBody>
        <w:p w:rsidR="000A548D" w:rsidRDefault="000A548D">
          <w:pPr>
            <w:pStyle w:val="9B677502E981494890BC6517C1894E8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48D"/>
    <w:rsid w:val="000A548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8C324691854847A642A8F33B67DE0C">
    <w:name w:val="F08C324691854847A642A8F33B67DE0C"/>
  </w:style>
  <w:style w:type="paragraph" w:customStyle="1" w:styleId="0207101F64EEA94A9FDC23DEC5138195">
    <w:name w:val="0207101F64EEA94A9FDC23DEC5138195"/>
  </w:style>
  <w:style w:type="paragraph" w:customStyle="1" w:styleId="154AEF002DC3E74BA2E6FDA518F9A51B">
    <w:name w:val="154AEF002DC3E74BA2E6FDA518F9A51B"/>
  </w:style>
  <w:style w:type="paragraph" w:customStyle="1" w:styleId="8C3F2E456ACF4149B57F1F1F84F46A7A">
    <w:name w:val="8C3F2E456ACF4149B57F1F1F84F46A7A"/>
  </w:style>
  <w:style w:type="paragraph" w:customStyle="1" w:styleId="DA9E154C1EC0CE4DA03A97B8DCC8CE6A">
    <w:name w:val="DA9E154C1EC0CE4DA03A97B8DCC8CE6A"/>
  </w:style>
  <w:style w:type="paragraph" w:customStyle="1" w:styleId="9A95DADF36035D438D7E5793513F901A">
    <w:name w:val="9A95DADF36035D438D7E5793513F901A"/>
  </w:style>
  <w:style w:type="paragraph" w:customStyle="1" w:styleId="168D6D7427BF9D4AAEC84BFACA9CEB51">
    <w:name w:val="168D6D7427BF9D4AAEC84BFACA9CEB51"/>
  </w:style>
  <w:style w:type="paragraph" w:customStyle="1" w:styleId="0511DA7720B2544A8E370D8BF9FFDBCA">
    <w:name w:val="0511DA7720B2544A8E370D8BF9FFDBCA"/>
  </w:style>
  <w:style w:type="paragraph" w:customStyle="1" w:styleId="FB32C1CD20680E4389A1B7E4E87EE18A">
    <w:name w:val="FB32C1CD20680E4389A1B7E4E87EE18A"/>
  </w:style>
  <w:style w:type="paragraph" w:customStyle="1" w:styleId="6E0E4A615336E84AAF327052AD160797">
    <w:name w:val="6E0E4A615336E84AAF327052AD160797"/>
  </w:style>
  <w:style w:type="paragraph" w:customStyle="1" w:styleId="9B677502E981494890BC6517C1894E81">
    <w:name w:val="9B677502E981494890BC6517C1894E8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8C324691854847A642A8F33B67DE0C">
    <w:name w:val="F08C324691854847A642A8F33B67DE0C"/>
  </w:style>
  <w:style w:type="paragraph" w:customStyle="1" w:styleId="0207101F64EEA94A9FDC23DEC5138195">
    <w:name w:val="0207101F64EEA94A9FDC23DEC5138195"/>
  </w:style>
  <w:style w:type="paragraph" w:customStyle="1" w:styleId="154AEF002DC3E74BA2E6FDA518F9A51B">
    <w:name w:val="154AEF002DC3E74BA2E6FDA518F9A51B"/>
  </w:style>
  <w:style w:type="paragraph" w:customStyle="1" w:styleId="8C3F2E456ACF4149B57F1F1F84F46A7A">
    <w:name w:val="8C3F2E456ACF4149B57F1F1F84F46A7A"/>
  </w:style>
  <w:style w:type="paragraph" w:customStyle="1" w:styleId="DA9E154C1EC0CE4DA03A97B8DCC8CE6A">
    <w:name w:val="DA9E154C1EC0CE4DA03A97B8DCC8CE6A"/>
  </w:style>
  <w:style w:type="paragraph" w:customStyle="1" w:styleId="9A95DADF36035D438D7E5793513F901A">
    <w:name w:val="9A95DADF36035D438D7E5793513F901A"/>
  </w:style>
  <w:style w:type="paragraph" w:customStyle="1" w:styleId="168D6D7427BF9D4AAEC84BFACA9CEB51">
    <w:name w:val="168D6D7427BF9D4AAEC84BFACA9CEB51"/>
  </w:style>
  <w:style w:type="paragraph" w:customStyle="1" w:styleId="0511DA7720B2544A8E370D8BF9FFDBCA">
    <w:name w:val="0511DA7720B2544A8E370D8BF9FFDBCA"/>
  </w:style>
  <w:style w:type="paragraph" w:customStyle="1" w:styleId="FB32C1CD20680E4389A1B7E4E87EE18A">
    <w:name w:val="FB32C1CD20680E4389A1B7E4E87EE18A"/>
  </w:style>
  <w:style w:type="paragraph" w:customStyle="1" w:styleId="6E0E4A615336E84AAF327052AD160797">
    <w:name w:val="6E0E4A615336E84AAF327052AD160797"/>
  </w:style>
  <w:style w:type="paragraph" w:customStyle="1" w:styleId="9B677502E981494890BC6517C1894E81">
    <w:name w:val="9B677502E981494890BC6517C1894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Kil75</b:Tag>
    <b:SourceType>Book</b:SourceType>
    <b:Guid>{56DA54A5-7CF3-EB45-8CFA-B834EBA77C88}</b:Guid>
    <b:Title>Sean O’Casey: A Collection of Critical Essays</b:Title>
    <b:City>London</b:City>
    <b:Publisher>Prentice-Hall</b:Publisher>
    <b:Year>1975</b:Year>
    <b:Author>
      <b:Editor>
        <b:NameList>
          <b:Person>
            <b:Last>Kilroy</b:Last>
            <b:First>Thomas</b:First>
          </b:Person>
        </b:NameList>
      </b:Editor>
    </b:Author>
    <b:RefOrder>1</b:RefOrder>
  </b:Source>
  <b:Source>
    <b:Tag>Kra79</b:Tag>
    <b:SourceType>Book</b:SourceType>
    <b:Guid>{31470E44-A00F-0E49-8329-13B9BB821595}</b:Guid>
    <b:Author>
      <b:Author>
        <b:NameList>
          <b:Person>
            <b:Last>Krause</b:Last>
            <b:First>David</b:First>
          </b:Person>
        </b:NameList>
      </b:Author>
    </b:Author>
    <b:Title>Sean O'Casey: The Man and his Work</b:Title>
    <b:City>London</b:City>
    <b:Publisher>Macmillan</b:Publisher>
    <b:Year>1979</b:Year>
    <b:RefOrder>2</b:RefOrder>
  </b:Source>
  <b:Source>
    <b:Tag>Kra80</b:Tag>
    <b:SourceType>Book</b:SourceType>
    <b:Guid>{76775267-4203-CF4F-9174-F6F54910561E}</b:Guid>
    <b:Title>Sean O’Casey: Centenary Essays</b:Title>
    <b:City>Gerrards Cross</b:City>
    <b:Publisher>Colin Smythe</b:Publisher>
    <b:Year>1980</b:Year>
    <b:Author>
      <b:Editor>
        <b:NameList>
          <b:Person>
            <b:Last>Krause</b:Last>
            <b:First>David</b:First>
          </b:Person>
          <b:Person>
            <b:Last>Lowery</b:Last>
            <b:First>Robert</b:First>
            <b:Middle>G.</b:Middle>
          </b:Person>
        </b:NameList>
      </b:Editor>
    </b:Author>
    <b:RefOrder>3</b:RefOrder>
  </b:Source>
  <b:Source>
    <b:Tag>Mor13</b:Tag>
    <b:SourceType>Book</b:SourceType>
    <b:Guid>{C5930FD8-19CA-8A45-9A12-2A6B08BC148C}</b:Guid>
    <b:Author>
      <b:Author>
        <b:NameList>
          <b:Person>
            <b:Last>Moran</b:Last>
            <b:First>James</b:First>
          </b:Person>
        </b:NameList>
      </b:Author>
    </b:Author>
    <b:Title>The Theatre of Sean O’Casey</b:Title>
    <b:City>London</b:City>
    <b:Publisher>Bloomsbury Methuen</b:Publisher>
    <b:Year>2013</b:Year>
    <b:RefOrder>4</b:RefOrder>
  </b:Source>
  <b:Source>
    <b:Tag>Mur06</b:Tag>
    <b:SourceType>Book</b:SourceType>
    <b:Guid>{D2878A63-8CE5-9A47-B37E-908B32B534EC}</b:Guid>
    <b:Author>
      <b:Author>
        <b:NameList>
          <b:Person>
            <b:Last>Murray</b:Last>
            <b:First>Christopher</b:First>
          </b:Person>
        </b:NameList>
      </b:Author>
    </b:Author>
    <b:Title>Sean O’Casey: Writer at Work</b:Title>
    <b:City>Dublin</b:City>
    <b:Publisher>Gill and Macmillan</b:Publisher>
    <b:Year>2006</b:Year>
    <b:RefOrder>5</b:RefOrder>
  </b:Source>
</b:Sources>
</file>

<file path=customXml/itemProps1.xml><?xml version="1.0" encoding="utf-8"?>
<ds:datastoreItem xmlns:ds="http://schemas.openxmlformats.org/officeDocument/2006/customXml" ds:itemID="{7F55536C-BA99-DF4A-ACDE-8781E4502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771</Words>
  <Characters>4397</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2015-09-11T18:00:00Z</dcterms:created>
  <dcterms:modified xsi:type="dcterms:W3CDTF">2015-09-27T16:22:00Z</dcterms:modified>
</cp:coreProperties>
</file>