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CAED312D5C324CBE71135629C3F53D"/>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7B0AADDE7D1124AA5655874DC29B71D"/>
            </w:placeholder>
            <w:text/>
          </w:sdtPr>
          <w:sdtContent>
            <w:tc>
              <w:tcPr>
                <w:tcW w:w="2073" w:type="dxa"/>
              </w:tcPr>
              <w:p w:rsidR="00B574C9" w:rsidRDefault="002E3D0A" w:rsidP="002E3D0A">
                <w:r>
                  <w:t xml:space="preserve">Alan </w:t>
                </w:r>
              </w:p>
            </w:tc>
          </w:sdtContent>
        </w:sdt>
        <w:sdt>
          <w:sdtPr>
            <w:alias w:val="Middle name"/>
            <w:tag w:val="authorMiddleName"/>
            <w:id w:val="-2076034781"/>
            <w:placeholder>
              <w:docPart w:val="33212352DCD1014185C3883299295B24"/>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389533F598B3A48AE748CE4A1CE65AD"/>
            </w:placeholder>
            <w:text/>
          </w:sdtPr>
          <w:sdtContent>
            <w:tc>
              <w:tcPr>
                <w:tcW w:w="2642" w:type="dxa"/>
              </w:tcPr>
              <w:p w:rsidR="00B574C9" w:rsidRDefault="002E3D0A" w:rsidP="002E3D0A">
                <w:proofErr w:type="spellStart"/>
                <w:r>
                  <w:t>Filewod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1517263A71A084083D361EDA995FD28"/>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7C40590A344A24D95A9D6F61D86EA12"/>
            </w:placeholder>
            <w:text/>
          </w:sdtPr>
          <w:sdtContent>
            <w:tc>
              <w:tcPr>
                <w:tcW w:w="8525" w:type="dxa"/>
                <w:gridSpan w:val="4"/>
              </w:tcPr>
              <w:p w:rsidR="00B574C9" w:rsidRDefault="002E3D0A" w:rsidP="002E3D0A">
                <w:r>
                  <w:t>University of Guelph</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53A0630A68FED4EA56E8B787615DE31"/>
            </w:placeholder>
            <w:text/>
          </w:sdtPr>
          <w:sdtContent>
            <w:tc>
              <w:tcPr>
                <w:tcW w:w="9016" w:type="dxa"/>
                <w:tcMar>
                  <w:top w:w="113" w:type="dxa"/>
                  <w:bottom w:w="113" w:type="dxa"/>
                </w:tcMar>
              </w:tcPr>
              <w:p w:rsidR="003F0D73" w:rsidRPr="00FB589A" w:rsidRDefault="002E3D0A" w:rsidP="002E3D0A">
                <w:pPr>
                  <w:rPr>
                    <w:b/>
                  </w:rPr>
                </w:pPr>
                <w:r w:rsidRPr="00F44E06">
                  <w:t>Workers’ Theatre Movement</w:t>
                </w:r>
              </w:p>
            </w:tc>
          </w:sdtContent>
        </w:sdt>
      </w:tr>
      <w:tr w:rsidR="00464699" w:rsidTr="002E3D0A">
        <w:sdt>
          <w:sdtPr>
            <w:alias w:val="Variant headwords"/>
            <w:tag w:val="variantHeadwords"/>
            <w:id w:val="173464402"/>
            <w:placeholder>
              <w:docPart w:val="A80DEB10F6937F47A63FDAE63F32716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1B6B924C95E8C4CA2CCF7C7EF213EC6"/>
            </w:placeholder>
          </w:sdtPr>
          <w:sdtContent>
            <w:tc>
              <w:tcPr>
                <w:tcW w:w="9016" w:type="dxa"/>
                <w:tcMar>
                  <w:top w:w="113" w:type="dxa"/>
                  <w:bottom w:w="113" w:type="dxa"/>
                </w:tcMar>
              </w:tcPr>
              <w:p w:rsidR="00F44E06" w:rsidRDefault="00F44E06" w:rsidP="00E85A05">
                <w:pPr>
                  <w:contextualSpacing/>
                  <w:rPr>
                    <w:rFonts w:ascii="Calibri" w:hAnsi="Calibri"/>
                  </w:rPr>
                </w:pPr>
                <w:r w:rsidRPr="00F44E06">
                  <w:rPr>
                    <w:rFonts w:ascii="Calibri" w:hAnsi="Calibri"/>
                  </w:rPr>
                  <w:t>The Workers’ Theatre Movement (WTM) was an international project, largely promoted by the Workers International Relief, to conjoin left militant radical theatres during the period of Stalin’s ‘Third Period’ militant class struggle; it was also briefly the name of a workers’ troupe in London. The historical shape of the WTM follows the ideological progress of the Communist International (</w:t>
                </w:r>
                <w:proofErr w:type="spellStart"/>
                <w:r w:rsidRPr="00F44E06">
                  <w:rPr>
                    <w:rFonts w:ascii="Calibri" w:hAnsi="Calibri"/>
                  </w:rPr>
                  <w:t>Comintern</w:t>
                </w:r>
                <w:proofErr w:type="spellEnd"/>
                <w:r w:rsidRPr="00F44E06">
                  <w:rPr>
                    <w:rFonts w:ascii="Calibri" w:hAnsi="Calibri"/>
                  </w:rPr>
                  <w:t>), from the hard left turn in 1929 to the collaborative politics of the Popular Front in 1933-34. As proposed by its ideological leaders and principal activists, the Workers’ Theatre Movement was evidence of the transnational emergence of a proletarian culture derived from the universal modernity of industrialism. In practice, the movement was an aggregate of practices and theories drawn into the semblance of an organization through the cultu</w:t>
                </w:r>
                <w:r>
                  <w:rPr>
                    <w:rFonts w:ascii="Calibri" w:hAnsi="Calibri"/>
                  </w:rPr>
                  <w:t xml:space="preserve">ral apparatus of the </w:t>
                </w:r>
                <w:proofErr w:type="spellStart"/>
                <w:r>
                  <w:rPr>
                    <w:rFonts w:ascii="Calibri" w:hAnsi="Calibri"/>
                  </w:rPr>
                  <w:t>Comintern</w:t>
                </w:r>
                <w:proofErr w:type="spellEnd"/>
                <w:r>
                  <w:rPr>
                    <w:rFonts w:ascii="Calibri" w:hAnsi="Calibri"/>
                  </w:rPr>
                  <w:t>.</w:t>
                </w:r>
              </w:p>
              <w:p w:rsidR="00F44E06" w:rsidRDefault="00F44E06" w:rsidP="00E85A05">
                <w:pPr>
                  <w:contextualSpacing/>
                  <w:rPr>
                    <w:rFonts w:ascii="Calibri" w:hAnsi="Calibri"/>
                  </w:rPr>
                </w:pPr>
              </w:p>
              <w:p w:rsidR="00E85A05" w:rsidRPr="00F44E06" w:rsidRDefault="00F44E06" w:rsidP="00E85A05">
                <w:pPr>
                  <w:contextualSpacing/>
                  <w:rPr>
                    <w:rFonts w:ascii="Calibri" w:hAnsi="Calibri"/>
                  </w:rPr>
                </w:pPr>
                <w:r w:rsidRPr="00F44E06">
                  <w:rPr>
                    <w:rFonts w:ascii="Calibri" w:hAnsi="Calibri"/>
                  </w:rPr>
                  <w:t xml:space="preserve">The Workers’ Theatre Movement was both a loose international alliance and a range of local experiences that varied greatly. In metropolitan centres, the workers’ troupes occupied a gradient ranging from militant street theatres, such as Ewan </w:t>
                </w:r>
                <w:proofErr w:type="spellStart"/>
                <w:r w:rsidRPr="00F44E06">
                  <w:rPr>
                    <w:rFonts w:ascii="Calibri" w:hAnsi="Calibri"/>
                  </w:rPr>
                  <w:t>MacColl’s</w:t>
                </w:r>
                <w:proofErr w:type="spellEnd"/>
                <w:r w:rsidRPr="00F44E06">
                  <w:rPr>
                    <w:rFonts w:ascii="Calibri" w:hAnsi="Calibri"/>
                  </w:rPr>
                  <w:t xml:space="preserve"> Red Megaphone in Birmingham, U.K. and the Shock Troupe of the Workers’ Laboratory Theatre in New York, to the radical edges of the professional theatre, such as the Group Theatre in New York and Unity Theatre in London. Outside of major theatrical centres, WTM troupes were more often organized by radical unions, or, as in the case of the Toronto Workers’ Experimental Theatre, by Communist Party cultural clubs.</w:t>
                </w:r>
              </w:p>
            </w:tc>
          </w:sdtContent>
        </w:sdt>
      </w:tr>
      <w:tr w:rsidR="003F0D73" w:rsidTr="003F0D73">
        <w:sdt>
          <w:sdtPr>
            <w:alias w:val="Article text"/>
            <w:tag w:val="articleText"/>
            <w:id w:val="634067588"/>
            <w:placeholder>
              <w:docPart w:val="A6BAE692292B6B48A40ED7FCBFF0DAD7"/>
            </w:placeholder>
          </w:sdtPr>
          <w:sdtContent>
            <w:tc>
              <w:tcPr>
                <w:tcW w:w="9016" w:type="dxa"/>
                <w:tcMar>
                  <w:top w:w="113" w:type="dxa"/>
                  <w:bottom w:w="113" w:type="dxa"/>
                </w:tcMar>
              </w:tcPr>
              <w:p w:rsidR="00F44E06" w:rsidRPr="00F44E06" w:rsidRDefault="00F44E06" w:rsidP="00F44E06">
                <w:pPr>
                  <w:contextualSpacing/>
                  <w:rPr>
                    <w:rFonts w:ascii="Calibri" w:hAnsi="Calibri"/>
                  </w:rPr>
                </w:pPr>
                <w:r w:rsidRPr="00F44E06">
                  <w:rPr>
                    <w:rFonts w:ascii="Calibri" w:hAnsi="Calibri"/>
                  </w:rPr>
                  <w:t>The Workers’ Theatre Movement (WTM) was an international project, largely promoted by the Workers International Relief, to conjoin left militant radical theatres during the period of Stalin’s ‘Third Period’ militant class struggle; it was also briefly the name of a workers’ troupe in London. The historical shape of the WTM follows the ideological progress of the Communist International (</w:t>
                </w:r>
                <w:proofErr w:type="spellStart"/>
                <w:r w:rsidRPr="00F44E06">
                  <w:rPr>
                    <w:rFonts w:ascii="Calibri" w:hAnsi="Calibri"/>
                  </w:rPr>
                  <w:t>Comintern</w:t>
                </w:r>
                <w:proofErr w:type="spellEnd"/>
                <w:r w:rsidRPr="00F44E06">
                  <w:rPr>
                    <w:rFonts w:ascii="Calibri" w:hAnsi="Calibri"/>
                  </w:rPr>
                  <w:t xml:space="preserve">), from the hard left turn in 1929 to the collaborative politics of the Popular Front in 1933-34. As proposed by its ideological leaders and principal activists, the Workers’ Theatre Movement was evidence of the transnational emergence of a proletarian culture derived from the universal modernity of industrialism. In practice, the movement was an aggregate of practices and theories drawn into the semblance of an organization through the cultural apparatus of the </w:t>
                </w:r>
                <w:proofErr w:type="spellStart"/>
                <w:r w:rsidRPr="00F44E06">
                  <w:rPr>
                    <w:rFonts w:ascii="Calibri" w:hAnsi="Calibri"/>
                  </w:rPr>
                  <w:t>Comintern</w:t>
                </w:r>
                <w:proofErr w:type="spellEnd"/>
                <w:r w:rsidRPr="00F44E06">
                  <w:rPr>
                    <w:rFonts w:ascii="Calibri" w:hAnsi="Calibri"/>
                  </w:rPr>
                  <w:t>.</w:t>
                </w:r>
              </w:p>
              <w:p w:rsidR="00F44E06" w:rsidRPr="00F44E06" w:rsidRDefault="00F44E06" w:rsidP="00F44E06">
                <w:pPr>
                  <w:contextualSpacing/>
                  <w:rPr>
                    <w:rFonts w:ascii="Calibri" w:hAnsi="Calibri"/>
                  </w:rPr>
                </w:pPr>
              </w:p>
              <w:p w:rsidR="00F44E06" w:rsidRPr="00F44E06" w:rsidRDefault="00F44E06" w:rsidP="00F44E06">
                <w:pPr>
                  <w:contextualSpacing/>
                  <w:rPr>
                    <w:rFonts w:ascii="Calibri" w:hAnsi="Calibri"/>
                  </w:rPr>
                </w:pPr>
                <w:r w:rsidRPr="00F44E06">
                  <w:rPr>
                    <w:rFonts w:ascii="Calibri" w:hAnsi="Calibri"/>
                  </w:rPr>
                  <w:t xml:space="preserve">The Workers’ Theatre Movement was both a loose international alliance and a range of local experiences that varied greatly. In metropolitan centres, the workers’ troupes occupied a gradient ranging from militant street theatres, such as Ewan </w:t>
                </w:r>
                <w:proofErr w:type="spellStart"/>
                <w:r w:rsidRPr="00F44E06">
                  <w:rPr>
                    <w:rFonts w:ascii="Calibri" w:hAnsi="Calibri"/>
                  </w:rPr>
                  <w:t>MacColl’s</w:t>
                </w:r>
                <w:proofErr w:type="spellEnd"/>
                <w:r w:rsidRPr="00F44E06">
                  <w:rPr>
                    <w:rFonts w:ascii="Calibri" w:hAnsi="Calibri"/>
                  </w:rPr>
                  <w:t xml:space="preserve"> Red Megaphone in Birmingham, U.K. and the Shock Troupe of the Workers’ Laboratory Theatre in New York, to the radical edges </w:t>
                </w:r>
                <w:r w:rsidRPr="00F44E06">
                  <w:rPr>
                    <w:rFonts w:ascii="Calibri" w:hAnsi="Calibri"/>
                  </w:rPr>
                  <w:lastRenderedPageBreak/>
                  <w:t>of the professional theatre, such as the Group Theatre in New York and Unity Theatre in London. Outside of major theatrical centres, WTM troupes were more often organized by radical unions, or, as in the case of the Toronto Workers’ Experimental Theatre, by Communist Party cultural clubs.</w:t>
                </w:r>
              </w:p>
              <w:p w:rsidR="00F44E06" w:rsidRPr="00F44E06" w:rsidRDefault="00F44E06" w:rsidP="00F44E06">
                <w:pPr>
                  <w:contextualSpacing/>
                  <w:rPr>
                    <w:rFonts w:ascii="Calibri" w:hAnsi="Calibri"/>
                  </w:rPr>
                </w:pPr>
              </w:p>
              <w:p w:rsidR="00F44E06" w:rsidRPr="00F44E06" w:rsidRDefault="00F44E06" w:rsidP="00F44E06">
                <w:pPr>
                  <w:contextualSpacing/>
                  <w:rPr>
                    <w:rFonts w:ascii="Calibri" w:hAnsi="Calibri"/>
                    <w:b/>
                  </w:rPr>
                </w:pPr>
                <w:r w:rsidRPr="00F44E06">
                  <w:rPr>
                    <w:rFonts w:ascii="Calibri" w:hAnsi="Calibri"/>
                  </w:rPr>
                  <w:t xml:space="preserve">In its Third Period phase, the workers theatre movement was marked by a struggle expressed in aesthetic debates that were codified in binary oppositions that reflected international factional struggles in the </w:t>
                </w:r>
                <w:proofErr w:type="spellStart"/>
                <w:r w:rsidRPr="00F44E06">
                  <w:rPr>
                    <w:rFonts w:ascii="Calibri" w:hAnsi="Calibri"/>
                  </w:rPr>
                  <w:t>Comintern</w:t>
                </w:r>
                <w:proofErr w:type="spellEnd"/>
                <w:r w:rsidRPr="00F44E06">
                  <w:rPr>
                    <w:rFonts w:ascii="Calibri" w:hAnsi="Calibri"/>
                  </w:rPr>
                  <w:t xml:space="preserve">. In the recurring debates over </w:t>
                </w:r>
                <w:proofErr w:type="gramStart"/>
                <w:r w:rsidRPr="00F44E06">
                  <w:rPr>
                    <w:rFonts w:ascii="Calibri" w:hAnsi="Calibri"/>
                  </w:rPr>
                  <w:t>form which</w:t>
                </w:r>
                <w:proofErr w:type="gramEnd"/>
                <w:r w:rsidRPr="00F44E06">
                  <w:rPr>
                    <w:rFonts w:ascii="Calibri" w:hAnsi="Calibri"/>
                  </w:rPr>
                  <w:t xml:space="preserve"> fill the pages of </w:t>
                </w:r>
                <w:r w:rsidRPr="00F44E06">
                  <w:rPr>
                    <w:rFonts w:ascii="Calibri" w:hAnsi="Calibri"/>
                    <w:i/>
                  </w:rPr>
                  <w:t xml:space="preserve">Workers Theatre </w:t>
                </w:r>
                <w:r w:rsidRPr="00F44E06">
                  <w:rPr>
                    <w:rFonts w:ascii="Calibri" w:hAnsi="Calibri"/>
                  </w:rPr>
                  <w:t xml:space="preserve">(renamed </w:t>
                </w:r>
                <w:r w:rsidRPr="00F44E06">
                  <w:rPr>
                    <w:rFonts w:ascii="Calibri" w:hAnsi="Calibri"/>
                    <w:i/>
                  </w:rPr>
                  <w:t>New Theatre</w:t>
                </w:r>
                <w:r w:rsidRPr="00F44E06">
                  <w:rPr>
                    <w:rFonts w:ascii="Calibri" w:hAnsi="Calibri"/>
                  </w:rPr>
                  <w:t xml:space="preserve"> in 1934</w:t>
                </w:r>
                <w:r w:rsidRPr="00F44E06">
                  <w:rPr>
                    <w:rFonts w:ascii="Calibri" w:hAnsi="Calibri"/>
                    <w:i/>
                  </w:rPr>
                  <w:t>)</w:t>
                </w:r>
                <w:r w:rsidRPr="00F44E06">
                  <w:rPr>
                    <w:rFonts w:ascii="Calibri" w:hAnsi="Calibri"/>
                  </w:rPr>
                  <w:t>, the major question was whether the aesthetics of workers’ theatre were most properly expressed by street and workplace performance (the ‘mobile stage’) or traditional playhouse (‘stationary’) performance; the issue at stake was whether the playhouse stage was an inherently bourgeois institution.</w:t>
                </w:r>
              </w:p>
              <w:p w:rsidR="00F44E06" w:rsidRPr="00F44E06" w:rsidRDefault="00F44E06" w:rsidP="00F44E06">
                <w:pPr>
                  <w:contextualSpacing/>
                  <w:rPr>
                    <w:rFonts w:ascii="Calibri" w:hAnsi="Calibri"/>
                  </w:rPr>
                </w:pPr>
              </w:p>
              <w:p w:rsidR="00F44E06" w:rsidRPr="00F44E06" w:rsidRDefault="00F44E06" w:rsidP="00F44E06">
                <w:pPr>
                  <w:contextualSpacing/>
                  <w:rPr>
                    <w:rFonts w:ascii="Calibri" w:hAnsi="Calibri" w:cs="Times"/>
                  </w:rPr>
                </w:pPr>
                <w:r w:rsidRPr="00F44E06">
                  <w:rPr>
                    <w:rFonts w:ascii="Calibri" w:hAnsi="Calibri"/>
                  </w:rPr>
                  <w:t xml:space="preserve">The international retreat from the politically combative agitprop theatre of the WTM, indicative of the pressures leading up to the Popular Front, was announced in December, 1932, at the Second Plenary of the International Union of Revolutionary Theatres in Moscow, which ‘set out tasks’ to correct ‘mistakes and failures.’ The statement focused on the militant sectarianism that agitprop enacted. The statement criticized the ‘serious underestimation of the bourgeois theatre’ and concluded that the ‘vigour and militancy of the agitprop troupes had caused the mistaken view to arise, that such troupes were the only form a revolutionary </w:t>
                </w:r>
                <w:proofErr w:type="spellStart"/>
                <w:r w:rsidRPr="00F44E06">
                  <w:rPr>
                    <w:rFonts w:ascii="Calibri" w:hAnsi="Calibri"/>
                  </w:rPr>
                  <w:t>theater</w:t>
                </w:r>
                <w:proofErr w:type="spellEnd"/>
                <w:r w:rsidRPr="00F44E06">
                  <w:rPr>
                    <w:rFonts w:ascii="Calibri" w:hAnsi="Calibri"/>
                  </w:rPr>
                  <w:t xml:space="preserve"> could take. This was left </w:t>
                </w:r>
                <w:proofErr w:type="gramStart"/>
                <w:r w:rsidRPr="00F44E06">
                  <w:rPr>
                    <w:rFonts w:ascii="Calibri" w:hAnsi="Calibri"/>
                  </w:rPr>
                  <w:t>sectarianism which</w:t>
                </w:r>
                <w:proofErr w:type="gramEnd"/>
                <w:r w:rsidRPr="00F44E06">
                  <w:rPr>
                    <w:rFonts w:ascii="Calibri" w:hAnsi="Calibri"/>
                  </w:rPr>
                  <w:t xml:space="preserve"> despised other theatrical forms’ (Jones, 132-133).</w:t>
                </w:r>
              </w:p>
              <w:p w:rsidR="00F44E06" w:rsidRPr="00F44E06" w:rsidRDefault="00F44E06" w:rsidP="00F44E06">
                <w:pPr>
                  <w:contextualSpacing/>
                  <w:rPr>
                    <w:rFonts w:ascii="Calibri" w:hAnsi="Calibri" w:cs="Times"/>
                  </w:rPr>
                </w:pPr>
              </w:p>
              <w:p w:rsidR="00F44E06" w:rsidRPr="00F44E06" w:rsidRDefault="00F44E06" w:rsidP="00F44E06">
                <w:pPr>
                  <w:contextualSpacing/>
                  <w:rPr>
                    <w:rFonts w:ascii="Calibri" w:hAnsi="Calibri" w:cs="Times"/>
                  </w:rPr>
                </w:pPr>
                <w:r w:rsidRPr="00F44E06">
                  <w:rPr>
                    <w:rFonts w:ascii="Calibri" w:hAnsi="Calibri" w:cs="Times"/>
                  </w:rPr>
                  <w:t xml:space="preserve">Although workers’ troupes typically performed agitprops, various organizational structures, including </w:t>
                </w:r>
                <w:r w:rsidRPr="00F44E06">
                  <w:rPr>
                    <w:rFonts w:ascii="Calibri" w:hAnsi="Calibri" w:cs="Times"/>
                    <w:i/>
                  </w:rPr>
                  <w:t>Workers Theatre</w:t>
                </w:r>
                <w:r w:rsidRPr="00F44E06">
                  <w:rPr>
                    <w:rFonts w:ascii="Calibri" w:hAnsi="Calibri" w:cs="Times"/>
                  </w:rPr>
                  <w:t xml:space="preserve">, sought to establish and circulate a canon of exemplary texts. Of these, the Workers’ Laboratory Theatre’s 1933 play </w:t>
                </w:r>
                <w:r w:rsidRPr="00F44E06">
                  <w:rPr>
                    <w:rFonts w:ascii="Calibri" w:hAnsi="Calibri" w:cs="Times"/>
                    <w:i/>
                  </w:rPr>
                  <w:t>Newsboy</w:t>
                </w:r>
                <w:r w:rsidRPr="00F44E06">
                  <w:rPr>
                    <w:rFonts w:ascii="Calibri" w:hAnsi="Calibri" w:cs="Times"/>
                  </w:rPr>
                  <w:t xml:space="preserve"> (1933) was particularly instrumental in advancing the proposal that the proletarian aesthetics of workers’ theatre, fusing agitprop, choreography, and scenography, was a modernist art that derived its principles from industrialism. At the same time, non-canonical popular culture forms flourished, including Red Vaudeville and workers’ puppet troupes.</w:t>
                </w:r>
              </w:p>
              <w:p w:rsidR="00F44E06" w:rsidRPr="00F44E06" w:rsidRDefault="00F44E06" w:rsidP="00F44E06">
                <w:pPr>
                  <w:contextualSpacing/>
                  <w:rPr>
                    <w:rFonts w:ascii="Calibri" w:hAnsi="Calibri" w:cs="Times"/>
                  </w:rPr>
                </w:pPr>
              </w:p>
              <w:p w:rsidR="00F44E06" w:rsidRPr="00F44E06" w:rsidRDefault="00F44E06" w:rsidP="00F44E06">
                <w:pPr>
                  <w:contextualSpacing/>
                  <w:rPr>
                    <w:rFonts w:ascii="Calibri" w:hAnsi="Calibri" w:cs="Times"/>
                  </w:rPr>
                </w:pPr>
                <w:r w:rsidRPr="00F44E06">
                  <w:rPr>
                    <w:rFonts w:ascii="Calibri" w:hAnsi="Calibri" w:cs="Times"/>
                  </w:rPr>
                  <w:t xml:space="preserve">By 1935, the WTM had effectively phased out, subsumed in the United States by the Federal Theatre Project and in the UK, Australia, and Canada by Popular Front professionalism that advocated realism, national cultural traditions, and artistry. Many of the Popular Front troupes announced their reformation with productions of Clifford Odets’s </w:t>
                </w:r>
                <w:r w:rsidRPr="00F44E06">
                  <w:rPr>
                    <w:rFonts w:ascii="Calibri" w:hAnsi="Calibri" w:cs="Times"/>
                    <w:i/>
                  </w:rPr>
                  <w:t>Waiting for Lefty</w:t>
                </w:r>
                <w:r w:rsidRPr="00F44E06">
                  <w:rPr>
                    <w:rFonts w:ascii="Calibri" w:hAnsi="Calibri" w:cs="Times"/>
                  </w:rPr>
                  <w:t xml:space="preserve"> (1935), which provided a theatrical bridge from agitprop to realism. The most celebrated of the Popular Front companies was Joan </w:t>
                </w:r>
                <w:proofErr w:type="spellStart"/>
                <w:r w:rsidRPr="00F44E06">
                  <w:rPr>
                    <w:rFonts w:ascii="Calibri" w:hAnsi="Calibri" w:cs="Times"/>
                  </w:rPr>
                  <w:t>Littlewood’s</w:t>
                </w:r>
                <w:proofErr w:type="spellEnd"/>
                <w:r w:rsidRPr="00F44E06">
                  <w:rPr>
                    <w:rFonts w:ascii="Calibri" w:hAnsi="Calibri" w:cs="Times"/>
                  </w:rPr>
                  <w:t xml:space="preserve"> Theatre Workshop, which was descended from Red Megaphone and had a transformative impact on British theatre after the Second World War.</w:t>
                </w:r>
              </w:p>
              <w:p w:rsidR="00F44E06" w:rsidRDefault="00F44E06" w:rsidP="00C27FAB"/>
              <w:p w:rsidR="00F44E06" w:rsidRPr="00E04495" w:rsidRDefault="00F44E06" w:rsidP="00E04495">
                <w:pPr>
                  <w:pStyle w:val="Heading1"/>
                </w:pPr>
                <w:r w:rsidRPr="00F44E06">
                  <w:t>List of Works</w:t>
                </w:r>
                <w:r>
                  <w:t>:</w:t>
                </w:r>
                <w:bookmarkStart w:id="0" w:name="_GoBack"/>
                <w:bookmarkEnd w:id="0"/>
              </w:p>
              <w:p w:rsidR="00F44E06" w:rsidRPr="00F44E06" w:rsidRDefault="00F44E06" w:rsidP="00F44E06">
                <w:pPr>
                  <w:contextualSpacing/>
                  <w:rPr>
                    <w:rFonts w:ascii="Calibri" w:hAnsi="Calibri" w:cs="Times"/>
                  </w:rPr>
                </w:pPr>
                <w:r w:rsidRPr="00F44E06">
                  <w:rPr>
                    <w:rFonts w:ascii="Calibri" w:hAnsi="Calibri" w:cs="Times"/>
                  </w:rPr>
                  <w:t>The following collections include workers’ theatre scripts:</w:t>
                </w:r>
              </w:p>
              <w:p w:rsidR="00F44E06" w:rsidRPr="00F44E06" w:rsidRDefault="00F44E06" w:rsidP="00F44E06">
                <w:pPr>
                  <w:contextualSpacing/>
                  <w:rPr>
                    <w:rFonts w:ascii="Calibri" w:hAnsi="Calibri"/>
                  </w:rPr>
                </w:pPr>
              </w:p>
              <w:p w:rsidR="00F44E06" w:rsidRDefault="00F44E06" w:rsidP="00F44E06">
                <w:pPr>
                  <w:pStyle w:val="Heading2"/>
                  <w:ind w:left="0"/>
                  <w:outlineLvl w:val="1"/>
                  <w:rPr>
                    <w:rFonts w:ascii="Calibri" w:hAnsi="Calibri"/>
                    <w:b/>
                    <w:szCs w:val="22"/>
                  </w:rPr>
                </w:pPr>
                <w:sdt>
                  <w:sdtPr>
                    <w:rPr>
                      <w:rFonts w:ascii="Calibri" w:hAnsi="Calibri"/>
                      <w:b/>
                      <w:szCs w:val="22"/>
                    </w:rPr>
                    <w:id w:val="1076170421"/>
                    <w:citation/>
                  </w:sdtPr>
                  <w:sdtContent>
                    <w:r>
                      <w:rPr>
                        <w:rFonts w:ascii="Calibri" w:hAnsi="Calibri"/>
                        <w:b/>
                        <w:szCs w:val="22"/>
                      </w:rPr>
                      <w:fldChar w:fldCharType="begin"/>
                    </w:r>
                    <w:r>
                      <w:rPr>
                        <w:rFonts w:ascii="Calibri" w:eastAsiaTheme="minorHAnsi" w:hAnsi="Calibri" w:cstheme="minorBidi"/>
                        <w:color w:val="auto"/>
                        <w:szCs w:val="22"/>
                        <w:lang w:val="en-US"/>
                      </w:rPr>
                      <w:instrText xml:space="preserve"> CITATION End76 \l 1033 </w:instrText>
                    </w:r>
                    <w:r>
                      <w:rPr>
                        <w:rFonts w:ascii="Calibri" w:hAnsi="Calibri"/>
                        <w:b/>
                        <w:szCs w:val="22"/>
                      </w:rPr>
                      <w:fldChar w:fldCharType="separate"/>
                    </w:r>
                    <w:r w:rsidRPr="00F44E06">
                      <w:rPr>
                        <w:rFonts w:ascii="Calibri" w:eastAsiaTheme="minorHAnsi" w:hAnsi="Calibri" w:cstheme="minorBidi"/>
                        <w:noProof/>
                        <w:color w:val="auto"/>
                        <w:szCs w:val="22"/>
                        <w:lang w:val="en-US"/>
                      </w:rPr>
                      <w:t>(Endres and Wright)</w:t>
                    </w:r>
                    <w:r>
                      <w:rPr>
                        <w:rFonts w:ascii="Calibri" w:hAnsi="Calibri"/>
                        <w:b/>
                        <w:szCs w:val="22"/>
                      </w:rPr>
                      <w:fldChar w:fldCharType="end"/>
                    </w:r>
                  </w:sdtContent>
                </w:sdt>
              </w:p>
              <w:p w:rsidR="00F44E06" w:rsidRPr="00F44E06" w:rsidRDefault="00F44E06" w:rsidP="00C27FAB">
                <w:pPr>
                  <w:contextualSpacing/>
                  <w:rPr>
                    <w:rFonts w:ascii="Calibri" w:hAnsi="Calibri"/>
                  </w:rPr>
                </w:pPr>
                <w:sdt>
                  <w:sdtPr>
                    <w:rPr>
                      <w:rFonts w:ascii="Calibri" w:hAnsi="Calibri"/>
                    </w:rPr>
                    <w:id w:val="1947352801"/>
                    <w:citation/>
                  </w:sdtPr>
                  <w:sdtContent>
                    <w:r w:rsidRPr="00F44E06">
                      <w:rPr>
                        <w:rFonts w:ascii="Calibri" w:hAnsi="Calibri"/>
                      </w:rPr>
                      <w:fldChar w:fldCharType="begin"/>
                    </w:r>
                    <w:r w:rsidRPr="00F44E06">
                      <w:rPr>
                        <w:rFonts w:ascii="Calibri" w:eastAsiaTheme="majorEastAsia" w:hAnsi="Calibri" w:cstheme="majorBidi"/>
                        <w:b/>
                        <w:lang w:val="en-US"/>
                      </w:rPr>
                      <w:instrText xml:space="preserve"> CITATION Pap09 \l 1033 </w:instrText>
                    </w:r>
                    <w:r w:rsidRPr="00F44E06">
                      <w:rPr>
                        <w:rFonts w:ascii="Calibri" w:hAnsi="Calibri"/>
                      </w:rPr>
                      <w:fldChar w:fldCharType="separate"/>
                    </w:r>
                    <w:r w:rsidRPr="00F44E06">
                      <w:rPr>
                        <w:rFonts w:ascii="Calibri" w:eastAsiaTheme="majorEastAsia" w:hAnsi="Calibri" w:cstheme="majorBidi"/>
                        <w:noProof/>
                        <w:lang w:val="en-US"/>
                      </w:rPr>
                      <w:t>(Papa)</w:t>
                    </w:r>
                    <w:r w:rsidRPr="00F44E06">
                      <w:rPr>
                        <w:rFonts w:ascii="Calibri" w:hAnsi="Calibri"/>
                      </w:rPr>
                      <w:fldChar w:fldCharType="end"/>
                    </w:r>
                  </w:sdtContent>
                </w:sdt>
              </w:p>
              <w:p w:rsidR="00F44E06" w:rsidRDefault="00F44E06" w:rsidP="00C27FAB">
                <w:pPr>
                  <w:contextualSpacing/>
                  <w:rPr>
                    <w:rFonts w:ascii="Calibri" w:hAnsi="Calibri"/>
                  </w:rPr>
                </w:pPr>
              </w:p>
              <w:p w:rsidR="003F0D73" w:rsidRDefault="00F44E06" w:rsidP="00C27FAB">
                <w:pPr>
                  <w:contextualSpacing/>
                </w:pPr>
                <w:sdt>
                  <w:sdtPr>
                    <w:id w:val="-2006662534"/>
                    <w:citation/>
                  </w:sdtPr>
                  <w:sdtContent>
                    <w:r>
                      <w:fldChar w:fldCharType="begin"/>
                    </w:r>
                    <w:r>
                      <w:rPr>
                        <w:rFonts w:ascii="Calibri" w:hAnsi="Calibri"/>
                        <w:lang w:val="en-US"/>
                      </w:rPr>
                      <w:instrText xml:space="preserve"> CITATION Sam85 \l 1033 </w:instrText>
                    </w:r>
                    <w:r>
                      <w:fldChar w:fldCharType="separate"/>
                    </w:r>
                    <w:r w:rsidRPr="00F44E06">
                      <w:rPr>
                        <w:rFonts w:ascii="Calibri" w:hAnsi="Calibri"/>
                        <w:noProof/>
                        <w:lang w:val="en-US"/>
                      </w:rPr>
                      <w:t>(Samuel, MacColl and Cosgrove)</w:t>
                    </w:r>
                    <w:r>
                      <w:fldChar w:fldCharType="end"/>
                    </w:r>
                  </w:sdtContent>
                </w:sdt>
              </w:p>
            </w:tc>
          </w:sdtContent>
        </w:sdt>
      </w:tr>
      <w:tr w:rsidR="003235A7" w:rsidTr="003235A7">
        <w:tc>
          <w:tcPr>
            <w:tcW w:w="9016" w:type="dxa"/>
          </w:tcPr>
          <w:p w:rsidR="003235A7" w:rsidRPr="00003200" w:rsidRDefault="003235A7" w:rsidP="008A5B87">
            <w:pPr>
              <w:rPr>
                <w:rFonts w:ascii="Calibri" w:hAnsi="Calibri"/>
              </w:rPr>
            </w:pPr>
            <w:r w:rsidRPr="00003200">
              <w:rPr>
                <w:rFonts w:ascii="Calibri" w:hAnsi="Calibri"/>
                <w:u w:val="single"/>
              </w:rPr>
              <w:lastRenderedPageBreak/>
              <w:t>Further reading</w:t>
            </w:r>
            <w:r w:rsidRPr="00003200">
              <w:rPr>
                <w:rFonts w:ascii="Calibri" w:hAnsi="Calibri"/>
              </w:rPr>
              <w:t>:</w:t>
            </w:r>
          </w:p>
          <w:sdt>
            <w:sdtPr>
              <w:rPr>
                <w:rFonts w:ascii="Calibri" w:hAnsi="Calibri"/>
              </w:rPr>
              <w:alias w:val="Further reading"/>
              <w:tag w:val="furtherReading"/>
              <w:id w:val="-1516217107"/>
              <w:placeholder>
                <w:docPart w:val="C3003C231A38F349B495FF8B5F4F779D"/>
              </w:placeholder>
            </w:sdtPr>
            <w:sdtContent>
              <w:p w:rsidR="00003200" w:rsidRDefault="00003200" w:rsidP="00003200">
                <w:pPr>
                  <w:contextualSpacing/>
                  <w:rPr>
                    <w:rFonts w:ascii="Calibri" w:hAnsi="Calibri"/>
                  </w:rPr>
                </w:pPr>
                <w:sdt>
                  <w:sdtPr>
                    <w:rPr>
                      <w:rFonts w:ascii="Calibri" w:hAnsi="Calibri"/>
                    </w:rPr>
                    <w:id w:val="1255631236"/>
                    <w:citation/>
                  </w:sdtPr>
                  <w:sdtContent>
                    <w:r>
                      <w:rPr>
                        <w:rFonts w:ascii="Calibri" w:hAnsi="Calibri"/>
                      </w:rPr>
                      <w:fldChar w:fldCharType="begin"/>
                    </w:r>
                    <w:r>
                      <w:rPr>
                        <w:rFonts w:ascii="Calibri" w:hAnsi="Calibri" w:cs="Times"/>
                        <w:lang w:val="en-US"/>
                      </w:rPr>
                      <w:instrText xml:space="preserve"> CITATION Cos85 \l 1033 </w:instrText>
                    </w:r>
                    <w:r>
                      <w:rPr>
                        <w:rFonts w:ascii="Calibri" w:hAnsi="Calibri"/>
                      </w:rPr>
                      <w:fldChar w:fldCharType="separate"/>
                    </w:r>
                    <w:r>
                      <w:rPr>
                        <w:rFonts w:ascii="Calibri" w:hAnsi="Calibri" w:cs="Times"/>
                        <w:noProof/>
                        <w:lang w:val="en-US"/>
                      </w:rPr>
                      <w:t xml:space="preserve"> </w:t>
                    </w:r>
                    <w:r w:rsidRPr="00003200">
                      <w:rPr>
                        <w:rFonts w:ascii="Calibri" w:hAnsi="Calibri" w:cs="Times"/>
                        <w:noProof/>
                        <w:lang w:val="en-US"/>
                      </w:rPr>
                      <w:t>(Cosgrove)</w:t>
                    </w:r>
                    <w:r>
                      <w:rPr>
                        <w:rFonts w:ascii="Calibri" w:hAnsi="Calibri"/>
                      </w:rPr>
                      <w:fldChar w:fldCharType="end"/>
                    </w:r>
                  </w:sdtContent>
                </w:sdt>
              </w:p>
              <w:p w:rsidR="00003200" w:rsidRPr="00003200" w:rsidRDefault="00003200" w:rsidP="00003200">
                <w:pPr>
                  <w:contextualSpacing/>
                  <w:rPr>
                    <w:rFonts w:ascii="Calibri" w:hAnsi="Calibri" w:cs="Times"/>
                    <w:b/>
                  </w:rPr>
                </w:pPr>
              </w:p>
              <w:p w:rsidR="00866EA7" w:rsidRDefault="00866EA7" w:rsidP="000032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autoSpaceDE w:val="0"/>
                  <w:autoSpaceDN w:val="0"/>
                  <w:adjustRightInd w:val="0"/>
                  <w:contextualSpacing/>
                  <w:rPr>
                    <w:rFonts w:ascii="Calibri" w:hAnsi="Calibri"/>
                  </w:rPr>
                </w:pPr>
                <w:sdt>
                  <w:sdtPr>
                    <w:rPr>
                      <w:rFonts w:ascii="Calibri" w:hAnsi="Calibri"/>
                    </w:rPr>
                    <w:id w:val="141394527"/>
                    <w:citation/>
                  </w:sdtPr>
                  <w:sdtContent>
                    <w:r>
                      <w:rPr>
                        <w:rFonts w:ascii="Calibri" w:hAnsi="Calibri"/>
                      </w:rPr>
                      <w:fldChar w:fldCharType="begin"/>
                    </w:r>
                    <w:r>
                      <w:rPr>
                        <w:rFonts w:ascii="Calibri" w:hAnsi="Calibri"/>
                        <w:lang w:val="en-US"/>
                      </w:rPr>
                      <w:instrText xml:space="preserve"> CITATION Fil99 \l 1033 </w:instrText>
                    </w:r>
                    <w:r>
                      <w:rPr>
                        <w:rFonts w:ascii="Calibri" w:hAnsi="Calibri"/>
                      </w:rPr>
                      <w:fldChar w:fldCharType="separate"/>
                    </w:r>
                    <w:r w:rsidRPr="00866EA7">
                      <w:rPr>
                        <w:rFonts w:ascii="Calibri" w:hAnsi="Calibri"/>
                        <w:noProof/>
                        <w:lang w:val="en-US"/>
                      </w:rPr>
                      <w:t>(Filewod)</w:t>
                    </w:r>
                    <w:r>
                      <w:rPr>
                        <w:rFonts w:ascii="Calibri" w:hAnsi="Calibri"/>
                      </w:rPr>
                      <w:fldChar w:fldCharType="end"/>
                    </w:r>
                  </w:sdtContent>
                </w:sdt>
              </w:p>
              <w:p w:rsidR="00003200" w:rsidRPr="00003200" w:rsidRDefault="00003200" w:rsidP="000032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s>
                  <w:autoSpaceDE w:val="0"/>
                  <w:autoSpaceDN w:val="0"/>
                  <w:adjustRightInd w:val="0"/>
                  <w:contextualSpacing/>
                  <w:rPr>
                    <w:rFonts w:ascii="Calibri" w:hAnsi="Calibri"/>
                  </w:rPr>
                </w:pPr>
                <w:r w:rsidRPr="00003200">
                  <w:rPr>
                    <w:rFonts w:ascii="Calibri" w:hAnsi="Calibri"/>
                  </w:rPr>
                  <w:lastRenderedPageBreak/>
                  <w:t xml:space="preserve"> </w:t>
                </w:r>
              </w:p>
              <w:p w:rsidR="00003200" w:rsidRDefault="00866EA7" w:rsidP="00003200">
                <w:pPr>
                  <w:contextualSpacing/>
                  <w:rPr>
                    <w:rFonts w:ascii="Calibri" w:hAnsi="Calibri"/>
                  </w:rPr>
                </w:pPr>
                <w:sdt>
                  <w:sdtPr>
                    <w:rPr>
                      <w:rFonts w:ascii="Calibri" w:hAnsi="Calibri"/>
                    </w:rPr>
                    <w:id w:val="328411542"/>
                    <w:citation/>
                  </w:sdtPr>
                  <w:sdtContent>
                    <w:r>
                      <w:rPr>
                        <w:rFonts w:ascii="Calibri" w:hAnsi="Calibri"/>
                      </w:rPr>
                      <w:fldChar w:fldCharType="begin"/>
                    </w:r>
                    <w:r>
                      <w:rPr>
                        <w:rFonts w:ascii="Calibri" w:hAnsi="Calibri"/>
                        <w:lang w:val="en-US"/>
                      </w:rPr>
                      <w:instrText xml:space="preserve"> CITATION Jon64 \l 1033 </w:instrText>
                    </w:r>
                    <w:r>
                      <w:rPr>
                        <w:rFonts w:ascii="Calibri" w:hAnsi="Calibri"/>
                      </w:rPr>
                      <w:fldChar w:fldCharType="separate"/>
                    </w:r>
                    <w:r w:rsidRPr="00866EA7">
                      <w:rPr>
                        <w:rFonts w:ascii="Calibri" w:hAnsi="Calibri"/>
                        <w:noProof/>
                        <w:lang w:val="en-US"/>
                      </w:rPr>
                      <w:t>(Jones)</w:t>
                    </w:r>
                    <w:r>
                      <w:rPr>
                        <w:rFonts w:ascii="Calibri" w:hAnsi="Calibri"/>
                      </w:rPr>
                      <w:fldChar w:fldCharType="end"/>
                    </w:r>
                  </w:sdtContent>
                </w:sdt>
              </w:p>
              <w:p w:rsidR="00866EA7" w:rsidRPr="00003200" w:rsidRDefault="00866EA7" w:rsidP="00003200">
                <w:pPr>
                  <w:contextualSpacing/>
                  <w:rPr>
                    <w:rFonts w:ascii="Calibri" w:hAnsi="Calibri"/>
                  </w:rPr>
                </w:pPr>
              </w:p>
              <w:p w:rsidR="00003200" w:rsidRDefault="00866EA7" w:rsidP="00003200">
                <w:pPr>
                  <w:contextualSpacing/>
                  <w:rPr>
                    <w:rFonts w:ascii="Calibri" w:hAnsi="Calibri"/>
                  </w:rPr>
                </w:pPr>
                <w:sdt>
                  <w:sdtPr>
                    <w:rPr>
                      <w:rFonts w:ascii="Calibri" w:hAnsi="Calibri"/>
                    </w:rPr>
                    <w:id w:val="-1556540472"/>
                    <w:citation/>
                  </w:sdtPr>
                  <w:sdtContent>
                    <w:r>
                      <w:rPr>
                        <w:rFonts w:ascii="Calibri" w:hAnsi="Calibri"/>
                      </w:rPr>
                      <w:fldChar w:fldCharType="begin"/>
                    </w:r>
                    <w:r>
                      <w:rPr>
                        <w:rFonts w:ascii="Calibri" w:hAnsi="Calibri"/>
                        <w:lang w:val="en-US"/>
                      </w:rPr>
                      <w:instrText xml:space="preserve"> CITATION Lev85 \l 1033 </w:instrText>
                    </w:r>
                    <w:r>
                      <w:rPr>
                        <w:rFonts w:ascii="Calibri" w:hAnsi="Calibri"/>
                      </w:rPr>
                      <w:fldChar w:fldCharType="separate"/>
                    </w:r>
                    <w:r w:rsidRPr="00866EA7">
                      <w:rPr>
                        <w:rFonts w:ascii="Calibri" w:hAnsi="Calibri"/>
                        <w:noProof/>
                        <w:lang w:val="en-US"/>
                      </w:rPr>
                      <w:t>(Levine)</w:t>
                    </w:r>
                    <w:r>
                      <w:rPr>
                        <w:rFonts w:ascii="Calibri" w:hAnsi="Calibri"/>
                      </w:rPr>
                      <w:fldChar w:fldCharType="end"/>
                    </w:r>
                  </w:sdtContent>
                </w:sdt>
              </w:p>
              <w:p w:rsidR="00E04495" w:rsidRPr="00003200" w:rsidRDefault="00E04495" w:rsidP="00003200">
                <w:pPr>
                  <w:contextualSpacing/>
                  <w:rPr>
                    <w:rFonts w:ascii="Calibri" w:hAnsi="Calibri"/>
                  </w:rPr>
                </w:pPr>
              </w:p>
              <w:p w:rsidR="00003200" w:rsidRDefault="00866EA7" w:rsidP="00003200">
                <w:pPr>
                  <w:contextualSpacing/>
                  <w:rPr>
                    <w:rFonts w:ascii="Calibri" w:hAnsi="Calibri"/>
                  </w:rPr>
                </w:pPr>
                <w:sdt>
                  <w:sdtPr>
                    <w:rPr>
                      <w:rFonts w:ascii="Calibri" w:hAnsi="Calibri"/>
                    </w:rPr>
                    <w:id w:val="1695194046"/>
                    <w:citation/>
                  </w:sdtPr>
                  <w:sdtContent>
                    <w:r>
                      <w:rPr>
                        <w:rFonts w:ascii="Calibri" w:hAnsi="Calibri"/>
                      </w:rPr>
                      <w:fldChar w:fldCharType="begin"/>
                    </w:r>
                    <w:r>
                      <w:rPr>
                        <w:rFonts w:ascii="Calibri" w:hAnsi="Calibri"/>
                        <w:lang w:val="en-US"/>
                      </w:rPr>
                      <w:instrText xml:space="preserve"> CITATION Nov85 \l 1033 </w:instrText>
                    </w:r>
                    <w:r>
                      <w:rPr>
                        <w:rFonts w:ascii="Calibri" w:hAnsi="Calibri"/>
                      </w:rPr>
                      <w:fldChar w:fldCharType="separate"/>
                    </w:r>
                    <w:r w:rsidRPr="00866EA7">
                      <w:rPr>
                        <w:rFonts w:ascii="Calibri" w:hAnsi="Calibri"/>
                        <w:noProof/>
                        <w:lang w:val="en-US"/>
                      </w:rPr>
                      <w:t>(Novikov)</w:t>
                    </w:r>
                    <w:r>
                      <w:rPr>
                        <w:rFonts w:ascii="Calibri" w:hAnsi="Calibri"/>
                      </w:rPr>
                      <w:fldChar w:fldCharType="end"/>
                    </w:r>
                  </w:sdtContent>
                </w:sdt>
              </w:p>
              <w:p w:rsidR="00E04495" w:rsidRPr="00003200" w:rsidRDefault="00E04495" w:rsidP="00003200">
                <w:pPr>
                  <w:contextualSpacing/>
                  <w:rPr>
                    <w:rFonts w:ascii="Calibri" w:hAnsi="Calibri"/>
                  </w:rPr>
                </w:pPr>
              </w:p>
              <w:p w:rsidR="00003200" w:rsidRDefault="00E04495" w:rsidP="00003200">
                <w:pPr>
                  <w:contextualSpacing/>
                  <w:rPr>
                    <w:rFonts w:ascii="Calibri" w:hAnsi="Calibri"/>
                  </w:rPr>
                </w:pPr>
                <w:sdt>
                  <w:sdtPr>
                    <w:rPr>
                      <w:rFonts w:ascii="Calibri" w:hAnsi="Calibri"/>
                    </w:rPr>
                    <w:id w:val="-2117197662"/>
                    <w:citation/>
                  </w:sdtPr>
                  <w:sdtContent>
                    <w:r>
                      <w:rPr>
                        <w:rFonts w:ascii="Calibri" w:hAnsi="Calibri"/>
                      </w:rPr>
                      <w:fldChar w:fldCharType="begin"/>
                    </w:r>
                    <w:r>
                      <w:rPr>
                        <w:rFonts w:ascii="Calibri" w:hAnsi="Calibri"/>
                        <w:lang w:val="en-US"/>
                      </w:rPr>
                      <w:instrText xml:space="preserve"> CITATION Sax85 \l 1033 </w:instrText>
                    </w:r>
                    <w:r>
                      <w:rPr>
                        <w:rFonts w:ascii="Calibri" w:hAnsi="Calibri"/>
                      </w:rPr>
                      <w:fldChar w:fldCharType="separate"/>
                    </w:r>
                    <w:r w:rsidRPr="00E04495">
                      <w:rPr>
                        <w:rFonts w:ascii="Calibri" w:hAnsi="Calibri"/>
                        <w:noProof/>
                        <w:lang w:val="en-US"/>
                      </w:rPr>
                      <w:t>(Saxe)</w:t>
                    </w:r>
                    <w:r>
                      <w:rPr>
                        <w:rFonts w:ascii="Calibri" w:hAnsi="Calibri"/>
                      </w:rPr>
                      <w:fldChar w:fldCharType="end"/>
                    </w:r>
                  </w:sdtContent>
                </w:sdt>
              </w:p>
              <w:p w:rsidR="00E04495" w:rsidRPr="00003200" w:rsidRDefault="00E04495" w:rsidP="00003200">
                <w:pPr>
                  <w:contextualSpacing/>
                  <w:rPr>
                    <w:rFonts w:ascii="Calibri" w:hAnsi="Calibri"/>
                  </w:rPr>
                </w:pPr>
              </w:p>
              <w:p w:rsidR="003235A7" w:rsidRPr="00003200" w:rsidRDefault="00E04495" w:rsidP="00FB11DE">
                <w:pPr>
                  <w:contextualSpacing/>
                  <w:rPr>
                    <w:rFonts w:ascii="Calibri" w:hAnsi="Calibri"/>
                  </w:rPr>
                </w:pPr>
                <w:sdt>
                  <w:sdtPr>
                    <w:rPr>
                      <w:rFonts w:ascii="Calibri" w:hAnsi="Calibri"/>
                    </w:rPr>
                    <w:id w:val="2068068804"/>
                    <w:citation/>
                  </w:sdtPr>
                  <w:sdtContent>
                    <w:r>
                      <w:rPr>
                        <w:rFonts w:ascii="Calibri" w:hAnsi="Calibri"/>
                      </w:rPr>
                      <w:fldChar w:fldCharType="begin"/>
                    </w:r>
                    <w:r>
                      <w:rPr>
                        <w:rFonts w:ascii="Calibri" w:hAnsi="Calibri"/>
                        <w:lang w:val="en-US"/>
                      </w:rPr>
                      <w:instrText xml:space="preserve"> CITATION Sto86 \l 1033 </w:instrText>
                    </w:r>
                    <w:r>
                      <w:rPr>
                        <w:rFonts w:ascii="Calibri" w:hAnsi="Calibri"/>
                      </w:rPr>
                      <w:fldChar w:fldCharType="separate"/>
                    </w:r>
                    <w:r w:rsidRPr="00E04495">
                      <w:rPr>
                        <w:rFonts w:ascii="Calibri" w:hAnsi="Calibri"/>
                        <w:noProof/>
                        <w:lang w:val="en-US"/>
                      </w:rPr>
                      <w:t>(Stourac and McCreery)</w:t>
                    </w:r>
                    <w:r>
                      <w:rPr>
                        <w:rFonts w:ascii="Calibri" w:hAnsi="Calibri"/>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EA7" w:rsidRDefault="00866EA7" w:rsidP="007A0D55">
      <w:pPr>
        <w:spacing w:after="0" w:line="240" w:lineRule="auto"/>
      </w:pPr>
      <w:r>
        <w:separator/>
      </w:r>
    </w:p>
  </w:endnote>
  <w:endnote w:type="continuationSeparator" w:id="0">
    <w:p w:rsidR="00866EA7" w:rsidRDefault="00866E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EA7" w:rsidRDefault="00866EA7" w:rsidP="007A0D55">
      <w:pPr>
        <w:spacing w:after="0" w:line="240" w:lineRule="auto"/>
      </w:pPr>
      <w:r>
        <w:separator/>
      </w:r>
    </w:p>
  </w:footnote>
  <w:footnote w:type="continuationSeparator" w:id="0">
    <w:p w:rsidR="00866EA7" w:rsidRDefault="00866E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EA7" w:rsidRDefault="00866E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66EA7" w:rsidRDefault="00866E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D0A"/>
    <w:rsid w:val="0000320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3D0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6EA7"/>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4495"/>
    <w:rsid w:val="00E85A05"/>
    <w:rsid w:val="00E95829"/>
    <w:rsid w:val="00EA606C"/>
    <w:rsid w:val="00EB0C8C"/>
    <w:rsid w:val="00EB51FD"/>
    <w:rsid w:val="00EB77DB"/>
    <w:rsid w:val="00ED139F"/>
    <w:rsid w:val="00EF74F7"/>
    <w:rsid w:val="00F36937"/>
    <w:rsid w:val="00F44E06"/>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3D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3D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CAED312D5C324CBE71135629C3F53D"/>
        <w:category>
          <w:name w:val="General"/>
          <w:gallery w:val="placeholder"/>
        </w:category>
        <w:types>
          <w:type w:val="bbPlcHdr"/>
        </w:types>
        <w:behaviors>
          <w:behavior w:val="content"/>
        </w:behaviors>
        <w:guid w:val="{81D323EA-FA0C-1541-8F13-4A5048F835FF}"/>
      </w:docPartPr>
      <w:docPartBody>
        <w:p w:rsidR="00000000" w:rsidRDefault="004E117A">
          <w:pPr>
            <w:pStyle w:val="9ACAED312D5C324CBE71135629C3F53D"/>
          </w:pPr>
          <w:r w:rsidRPr="00CC586D">
            <w:rPr>
              <w:rStyle w:val="PlaceholderText"/>
              <w:b/>
              <w:color w:val="FFFFFF" w:themeColor="background1"/>
            </w:rPr>
            <w:t>[Salutation]</w:t>
          </w:r>
        </w:p>
      </w:docPartBody>
    </w:docPart>
    <w:docPart>
      <w:docPartPr>
        <w:name w:val="A7B0AADDE7D1124AA5655874DC29B71D"/>
        <w:category>
          <w:name w:val="General"/>
          <w:gallery w:val="placeholder"/>
        </w:category>
        <w:types>
          <w:type w:val="bbPlcHdr"/>
        </w:types>
        <w:behaviors>
          <w:behavior w:val="content"/>
        </w:behaviors>
        <w:guid w:val="{26CC96C2-4819-9140-ABC8-BD12D1F6504B}"/>
      </w:docPartPr>
      <w:docPartBody>
        <w:p w:rsidR="00000000" w:rsidRDefault="004E117A">
          <w:pPr>
            <w:pStyle w:val="A7B0AADDE7D1124AA5655874DC29B71D"/>
          </w:pPr>
          <w:r>
            <w:rPr>
              <w:rStyle w:val="PlaceholderText"/>
            </w:rPr>
            <w:t>[First name]</w:t>
          </w:r>
        </w:p>
      </w:docPartBody>
    </w:docPart>
    <w:docPart>
      <w:docPartPr>
        <w:name w:val="33212352DCD1014185C3883299295B24"/>
        <w:category>
          <w:name w:val="General"/>
          <w:gallery w:val="placeholder"/>
        </w:category>
        <w:types>
          <w:type w:val="bbPlcHdr"/>
        </w:types>
        <w:behaviors>
          <w:behavior w:val="content"/>
        </w:behaviors>
        <w:guid w:val="{08223FE7-8566-2349-B69A-8C79FD25BF1C}"/>
      </w:docPartPr>
      <w:docPartBody>
        <w:p w:rsidR="00000000" w:rsidRDefault="004E117A">
          <w:pPr>
            <w:pStyle w:val="33212352DCD1014185C3883299295B24"/>
          </w:pPr>
          <w:r>
            <w:rPr>
              <w:rStyle w:val="PlaceholderText"/>
            </w:rPr>
            <w:t>[Middle name]</w:t>
          </w:r>
        </w:p>
      </w:docPartBody>
    </w:docPart>
    <w:docPart>
      <w:docPartPr>
        <w:name w:val="C389533F598B3A48AE748CE4A1CE65AD"/>
        <w:category>
          <w:name w:val="General"/>
          <w:gallery w:val="placeholder"/>
        </w:category>
        <w:types>
          <w:type w:val="bbPlcHdr"/>
        </w:types>
        <w:behaviors>
          <w:behavior w:val="content"/>
        </w:behaviors>
        <w:guid w:val="{90AF87F2-B884-E342-A145-B4D665D82C89}"/>
      </w:docPartPr>
      <w:docPartBody>
        <w:p w:rsidR="00000000" w:rsidRDefault="004E117A">
          <w:pPr>
            <w:pStyle w:val="C389533F598B3A48AE748CE4A1CE65AD"/>
          </w:pPr>
          <w:r>
            <w:rPr>
              <w:rStyle w:val="PlaceholderText"/>
            </w:rPr>
            <w:t>[Last name]</w:t>
          </w:r>
        </w:p>
      </w:docPartBody>
    </w:docPart>
    <w:docPart>
      <w:docPartPr>
        <w:name w:val="B1517263A71A084083D361EDA995FD28"/>
        <w:category>
          <w:name w:val="General"/>
          <w:gallery w:val="placeholder"/>
        </w:category>
        <w:types>
          <w:type w:val="bbPlcHdr"/>
        </w:types>
        <w:behaviors>
          <w:behavior w:val="content"/>
        </w:behaviors>
        <w:guid w:val="{9632EC26-4B01-FA4A-B5E8-091923C9BCE7}"/>
      </w:docPartPr>
      <w:docPartBody>
        <w:p w:rsidR="00000000" w:rsidRDefault="004E117A">
          <w:pPr>
            <w:pStyle w:val="B1517263A71A084083D361EDA995FD28"/>
          </w:pPr>
          <w:r>
            <w:rPr>
              <w:rStyle w:val="PlaceholderText"/>
            </w:rPr>
            <w:t>[Enter your biography]</w:t>
          </w:r>
        </w:p>
      </w:docPartBody>
    </w:docPart>
    <w:docPart>
      <w:docPartPr>
        <w:name w:val="D7C40590A344A24D95A9D6F61D86EA12"/>
        <w:category>
          <w:name w:val="General"/>
          <w:gallery w:val="placeholder"/>
        </w:category>
        <w:types>
          <w:type w:val="bbPlcHdr"/>
        </w:types>
        <w:behaviors>
          <w:behavior w:val="content"/>
        </w:behaviors>
        <w:guid w:val="{B7BE7E4D-2566-BC4F-8736-753AD48905B4}"/>
      </w:docPartPr>
      <w:docPartBody>
        <w:p w:rsidR="00000000" w:rsidRDefault="004E117A">
          <w:pPr>
            <w:pStyle w:val="D7C40590A344A24D95A9D6F61D86EA12"/>
          </w:pPr>
          <w:r>
            <w:rPr>
              <w:rStyle w:val="PlaceholderText"/>
            </w:rPr>
            <w:t>[Enter the institution with which you are affiliated]</w:t>
          </w:r>
        </w:p>
      </w:docPartBody>
    </w:docPart>
    <w:docPart>
      <w:docPartPr>
        <w:name w:val="553A0630A68FED4EA56E8B787615DE31"/>
        <w:category>
          <w:name w:val="General"/>
          <w:gallery w:val="placeholder"/>
        </w:category>
        <w:types>
          <w:type w:val="bbPlcHdr"/>
        </w:types>
        <w:behaviors>
          <w:behavior w:val="content"/>
        </w:behaviors>
        <w:guid w:val="{2F4FBC82-DC39-8F4A-9278-7D7A3DD7CE10}"/>
      </w:docPartPr>
      <w:docPartBody>
        <w:p w:rsidR="00000000" w:rsidRDefault="004E117A">
          <w:pPr>
            <w:pStyle w:val="553A0630A68FED4EA56E8B787615DE31"/>
          </w:pPr>
          <w:r w:rsidRPr="00EF74F7">
            <w:rPr>
              <w:b/>
              <w:color w:val="808080" w:themeColor="background1" w:themeShade="80"/>
            </w:rPr>
            <w:t>[Enter the headword for your article]</w:t>
          </w:r>
        </w:p>
      </w:docPartBody>
    </w:docPart>
    <w:docPart>
      <w:docPartPr>
        <w:name w:val="A80DEB10F6937F47A63FDAE63F327164"/>
        <w:category>
          <w:name w:val="General"/>
          <w:gallery w:val="placeholder"/>
        </w:category>
        <w:types>
          <w:type w:val="bbPlcHdr"/>
        </w:types>
        <w:behaviors>
          <w:behavior w:val="content"/>
        </w:behaviors>
        <w:guid w:val="{D9922366-36D7-FF4D-9AEA-821C5887C0EA}"/>
      </w:docPartPr>
      <w:docPartBody>
        <w:p w:rsidR="00000000" w:rsidRDefault="004E117A">
          <w:pPr>
            <w:pStyle w:val="A80DEB10F6937F47A63FDAE63F3271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B6B924C95E8C4CA2CCF7C7EF213EC6"/>
        <w:category>
          <w:name w:val="General"/>
          <w:gallery w:val="placeholder"/>
        </w:category>
        <w:types>
          <w:type w:val="bbPlcHdr"/>
        </w:types>
        <w:behaviors>
          <w:behavior w:val="content"/>
        </w:behaviors>
        <w:guid w:val="{2F9E6789-245F-EA4B-A5FF-B756B7B97A57}"/>
      </w:docPartPr>
      <w:docPartBody>
        <w:p w:rsidR="00000000" w:rsidRDefault="004E117A">
          <w:pPr>
            <w:pStyle w:val="31B6B924C95E8C4CA2CCF7C7EF213E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BAE692292B6B48A40ED7FCBFF0DAD7"/>
        <w:category>
          <w:name w:val="General"/>
          <w:gallery w:val="placeholder"/>
        </w:category>
        <w:types>
          <w:type w:val="bbPlcHdr"/>
        </w:types>
        <w:behaviors>
          <w:behavior w:val="content"/>
        </w:behaviors>
        <w:guid w:val="{192889F0-CC17-E840-B344-E1B27A5AC204}"/>
      </w:docPartPr>
      <w:docPartBody>
        <w:p w:rsidR="00000000" w:rsidRDefault="004E117A">
          <w:pPr>
            <w:pStyle w:val="A6BAE692292B6B48A40ED7FCBFF0DAD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CAED312D5C324CBE71135629C3F53D">
    <w:name w:val="9ACAED312D5C324CBE71135629C3F53D"/>
  </w:style>
  <w:style w:type="paragraph" w:customStyle="1" w:styleId="A7B0AADDE7D1124AA5655874DC29B71D">
    <w:name w:val="A7B0AADDE7D1124AA5655874DC29B71D"/>
  </w:style>
  <w:style w:type="paragraph" w:customStyle="1" w:styleId="33212352DCD1014185C3883299295B24">
    <w:name w:val="33212352DCD1014185C3883299295B24"/>
  </w:style>
  <w:style w:type="paragraph" w:customStyle="1" w:styleId="C389533F598B3A48AE748CE4A1CE65AD">
    <w:name w:val="C389533F598B3A48AE748CE4A1CE65AD"/>
  </w:style>
  <w:style w:type="paragraph" w:customStyle="1" w:styleId="B1517263A71A084083D361EDA995FD28">
    <w:name w:val="B1517263A71A084083D361EDA995FD28"/>
  </w:style>
  <w:style w:type="paragraph" w:customStyle="1" w:styleId="D7C40590A344A24D95A9D6F61D86EA12">
    <w:name w:val="D7C40590A344A24D95A9D6F61D86EA12"/>
  </w:style>
  <w:style w:type="paragraph" w:customStyle="1" w:styleId="553A0630A68FED4EA56E8B787615DE31">
    <w:name w:val="553A0630A68FED4EA56E8B787615DE31"/>
  </w:style>
  <w:style w:type="paragraph" w:customStyle="1" w:styleId="A80DEB10F6937F47A63FDAE63F327164">
    <w:name w:val="A80DEB10F6937F47A63FDAE63F327164"/>
  </w:style>
  <w:style w:type="paragraph" w:customStyle="1" w:styleId="31B6B924C95E8C4CA2CCF7C7EF213EC6">
    <w:name w:val="31B6B924C95E8C4CA2CCF7C7EF213EC6"/>
  </w:style>
  <w:style w:type="paragraph" w:customStyle="1" w:styleId="A6BAE692292B6B48A40ED7FCBFF0DAD7">
    <w:name w:val="A6BAE692292B6B48A40ED7FCBFF0DAD7"/>
  </w:style>
  <w:style w:type="paragraph" w:customStyle="1" w:styleId="C3003C231A38F349B495FF8B5F4F779D">
    <w:name w:val="C3003C231A38F349B495FF8B5F4F779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CAED312D5C324CBE71135629C3F53D">
    <w:name w:val="9ACAED312D5C324CBE71135629C3F53D"/>
  </w:style>
  <w:style w:type="paragraph" w:customStyle="1" w:styleId="A7B0AADDE7D1124AA5655874DC29B71D">
    <w:name w:val="A7B0AADDE7D1124AA5655874DC29B71D"/>
  </w:style>
  <w:style w:type="paragraph" w:customStyle="1" w:styleId="33212352DCD1014185C3883299295B24">
    <w:name w:val="33212352DCD1014185C3883299295B24"/>
  </w:style>
  <w:style w:type="paragraph" w:customStyle="1" w:styleId="C389533F598B3A48AE748CE4A1CE65AD">
    <w:name w:val="C389533F598B3A48AE748CE4A1CE65AD"/>
  </w:style>
  <w:style w:type="paragraph" w:customStyle="1" w:styleId="B1517263A71A084083D361EDA995FD28">
    <w:name w:val="B1517263A71A084083D361EDA995FD28"/>
  </w:style>
  <w:style w:type="paragraph" w:customStyle="1" w:styleId="D7C40590A344A24D95A9D6F61D86EA12">
    <w:name w:val="D7C40590A344A24D95A9D6F61D86EA12"/>
  </w:style>
  <w:style w:type="paragraph" w:customStyle="1" w:styleId="553A0630A68FED4EA56E8B787615DE31">
    <w:name w:val="553A0630A68FED4EA56E8B787615DE31"/>
  </w:style>
  <w:style w:type="paragraph" w:customStyle="1" w:styleId="A80DEB10F6937F47A63FDAE63F327164">
    <w:name w:val="A80DEB10F6937F47A63FDAE63F327164"/>
  </w:style>
  <w:style w:type="paragraph" w:customStyle="1" w:styleId="31B6B924C95E8C4CA2CCF7C7EF213EC6">
    <w:name w:val="31B6B924C95E8C4CA2CCF7C7EF213EC6"/>
  </w:style>
  <w:style w:type="paragraph" w:customStyle="1" w:styleId="A6BAE692292B6B48A40ED7FCBFF0DAD7">
    <w:name w:val="A6BAE692292B6B48A40ED7FCBFF0DAD7"/>
  </w:style>
  <w:style w:type="paragraph" w:customStyle="1" w:styleId="C3003C231A38F349B495FF8B5F4F779D">
    <w:name w:val="C3003C231A38F349B495FF8B5F4F7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End76</b:Tag>
    <b:SourceType>Book</b:SourceType>
    <b:Guid>{AF3A2ECC-D711-2147-9073-F951D71183C7}</b:Guid>
    <b:Title>Eight Men Speak and Other Plays from the Canadian Workers’ Theatre</b:Title>
    <b:City>Toronto</b:City>
    <b:Publisher>New Hogtown</b:Publisher>
    <b:Year>1976</b:Year>
    <b:Author>
      <b:Editor>
        <b:NameList>
          <b:Person>
            <b:Last>Endres</b:Last>
            <b:First>Robin</b:First>
          </b:Person>
          <b:Person>
            <b:Last>Wright</b:Last>
            <b:First>Richard</b:First>
          </b:Person>
        </b:NameList>
      </b:Editor>
    </b:Author>
    <b:RefOrder>1</b:RefOrder>
  </b:Source>
  <b:Source>
    <b:Tag>Pap09</b:Tag>
    <b:SourceType>Book</b:SourceType>
    <b:Guid>{A62E8825-0C01-084F-861C-9BDBD8B2772A}</b:Guid>
    <b:Author>
      <b:Author>
        <b:NameList>
          <b:Person>
            <b:Last>Papa</b:Last>
            <b:First>Lee</b:First>
          </b:Person>
        </b:NameList>
      </b:Author>
    </b:Author>
    <b:Title>Staged Action: Six Plays from the American Workers' Theater</b:Title>
    <b:City>Ithaca</b:City>
    <b:Publisher>ILR Press/Cornell University Press</b:Publisher>
    <b:Year>2009</b:Year>
    <b:RefOrder>2</b:RefOrder>
  </b:Source>
  <b:Source>
    <b:Tag>Sam85</b:Tag>
    <b:SourceType>Book</b:SourceType>
    <b:Guid>{41B198D7-8E44-6444-8783-B9CBE68291B8}</b:Guid>
    <b:Title>Theatres of the Left: 1888-1935; Workers’ Theatre Movements in Britain and America</b:Title>
    <b:City>London</b:City>
    <b:Publisher>Routledge &amp; Kegan Paul</b:Publisher>
    <b:Year>1985</b:Year>
    <b:Author>
      <b:Editor>
        <b:NameList>
          <b:Person>
            <b:Last>Samuel</b:Last>
            <b:First>Raphael</b:First>
          </b:Person>
          <b:Person>
            <b:Last>MacColl</b:Last>
            <b:First>Ewan</b:First>
          </b:Person>
          <b:Person>
            <b:Last>Cosgrove</b:Last>
            <b:First>Stuart</b:First>
          </b:Person>
        </b:NameList>
      </b:Editor>
    </b:Author>
    <b:RefOrder>3</b:RefOrder>
  </b:Source>
  <b:Source>
    <b:Tag>Cos85</b:Tag>
    <b:SourceType>BookSection</b:SourceType>
    <b:Guid>{79E04897-2836-164E-8AAD-993F65FDC5DA}</b:Guid>
    <b:Author>
      <b:Author>
        <b:NameList>
          <b:Person>
            <b:Last>Cosgrove</b:Last>
            <b:First>Stuart</b:First>
          </b:Person>
        </b:NameList>
      </b:Author>
      <b:Editor>
        <b:NameList>
          <b:Person>
            <b:Last>Samuel</b:Last>
            <b:First>Raphael</b:First>
          </b:Person>
          <b:Person>
            <b:Last>MacColl</b:Last>
            <b:First>Ewan</b:First>
          </b:Person>
          <b:Person>
            <b:Last>Cosgrove</b:Last>
            <b:First>Stuart</b:First>
          </b:Person>
        </b:NameList>
      </b:Editor>
    </b:Author>
    <b:Title>From Shock Troupe to Group Theatre</b:Title>
    <b:City>London</b:City>
    <b:Publisher>Routledge &amp; Kegan Paul</b:Publisher>
    <b:Year>1985</b:Year>
    <b:Pages>259-279</b:Pages>
    <b:BookTitle>Theatres of the Left: 1888-1935; Workers’ Theatre Movements in Britain and America</b:BookTitle>
    <b:RefOrder>4</b:RefOrder>
  </b:Source>
  <b:Source>
    <b:Tag>Fil99</b:Tag>
    <b:SourceType>JournalArticle</b:SourceType>
    <b:Guid>{BEC8E297-7D55-CA49-959F-6AE1C687675E}</b:Guid>
    <b:Author>
      <b:Author>
        <b:NameList>
          <b:Person>
            <b:Last>Filewod</b:Last>
            <b:First>Alan</b:First>
          </b:Person>
        </b:NameList>
      </b:Author>
    </b:Author>
    <b:Title>“A Qualified Workers Theatre Art”: Waiting for Lefty and the (Re)Formation of Popular Front Theatres</b:Title>
    <b:BookTitle>Essays in Theatre</b:BookTitle>
    <b:Year>1999</b:Year>
    <b:Volume>17</b:Volume>
    <b:Pages>111-28</b:Pages>
    <b:JournalName>Essays in Theatre</b:JournalName>
    <b:Month>May</b:Month>
    <b:Issue>2</b:Issue>
    <b:RefOrder>5</b:RefOrder>
  </b:Source>
  <b:Source>
    <b:Tag>Jon64</b:Tag>
    <b:SourceType>Misc</b:SourceType>
    <b:Guid>{A5339425-D16A-7B47-A558-C58539217E3D}</b:Guid>
    <b:Title>The British Workers Theatre, 1917-1935</b:Title>
    <b:Publisher>Karl-Marx Universitat, Liepzig</b:Publisher>
    <b:Year>1964</b:Year>
    <b:Author>
      <b:Author>
        <b:NameList>
          <b:Person>
            <b:Last>Jones</b:Last>
            <b:First>Leonard</b:First>
          </b:Person>
        </b:NameList>
      </b:Author>
    </b:Author>
    <b:Medium>PhD Dissertation</b:Medium>
    <b:RefOrder>6</b:RefOrder>
  </b:Source>
  <b:Source>
    <b:Tag>Lev85</b:Tag>
    <b:SourceType>Book</b:SourceType>
    <b:Guid>{CF47FDA4-EC24-3D47-9DC7-C52E4C82D50B}</b:Guid>
    <b:Title>Left-Wing Dramatic Theory in the American Theatre</b:Title>
    <b:Year>1985</b:Year>
    <b:City>Ann Arbor</b:City>
    <b:Publisher>UMI</b:Publisher>
    <b:Author>
      <b:Author>
        <b:NameList>
          <b:Person>
            <b:Last>Levine</b:Last>
            <b:First>Ira</b:First>
            <b:Middle>A.</b:Middle>
          </b:Person>
        </b:NameList>
      </b:Author>
    </b:Author>
    <b:RefOrder>7</b:RefOrder>
  </b:Source>
  <b:Source>
    <b:Tag>Nov85</b:Tag>
    <b:SourceType>Book</b:SourceType>
    <b:Guid>{C77AD3F0-0017-ED49-B962-CCD9E41FCB04}</b:Guid>
    <b:Author>
      <b:Author>
        <b:NameList>
          <b:Person>
            <b:Last>Novikov</b:Last>
            <b:First>Gregory</b:First>
          </b:Person>
        </b:NameList>
      </b:Author>
      <b:Editor>
        <b:NameList>
          <b:Person>
            <b:Last>Samuel</b:Last>
            <b:First>Raphael</b:First>
          </b:Person>
          <b:Person>
            <b:Last>MacColl</b:Last>
            <b:First>Ewan</b:First>
          </b:Person>
          <b:Person>
            <b:Last>Cosgrove</b:Last>
            <b:First>Stuart</b:First>
          </b:Person>
        </b:NameList>
      </b:Editor>
    </b:Author>
    <b:Title>Newsboy, Theatres of the Left: 1888-1935; Workers’ Theatre Movements in Britain and America</b:Title>
    <b:City>London</b:City>
    <b:Publisher>Routledge &amp; Kegan Paul</b:Publisher>
    <b:Year>1985</b:Year>
    <b:Pages>316-22</b:Pages>
    <b:RefOrder>8</b:RefOrder>
  </b:Source>
  <b:Source>
    <b:Tag>Sax85</b:Tag>
    <b:SourceType>BookSection</b:SourceType>
    <b:Guid>{41EF3FEC-069F-FF44-AB94-05B11AC30DD2}</b:Guid>
    <b:Title>“Newsboy”: From Script to Performance</b:Title>
    <b:City>London</b:City>
    <b:Publisher>Routledge &amp; Kegan Paul</b:Publisher>
    <b:Year>1985</b:Year>
    <b:Pages>259-279</b:Pages>
    <b:Author>
      <b:Author>
        <b:NameList>
          <b:Person>
            <b:Last>Saxe</b:Last>
            <b:First>Alfred</b:First>
          </b:Person>
        </b:NameList>
      </b:Author>
      <b:Editor>
        <b:NameList>
          <b:Person>
            <b:Last>Samuel</b:Last>
            <b:First>Raphael</b:First>
          </b:Person>
          <b:Person>
            <b:Last>MacColl</b:Last>
            <b:First>Ewan</b:First>
          </b:Person>
          <b:Person>
            <b:Last>Cosgrove</b:Last>
            <b:First>Stuart</b:First>
          </b:Person>
        </b:NameList>
      </b:Editor>
    </b:Author>
    <b:BookTitle>Theatres of the Left: 1888-1935; Workers’ Theatre Movements in Britain and America</b:BookTitle>
    <b:RefOrder>9</b:RefOrder>
  </b:Source>
  <b:Source>
    <b:Tag>Sto86</b:Tag>
    <b:SourceType>Book</b:SourceType>
    <b:Guid>{B183FD1F-B9F9-984F-9373-BEF6BCE2DC54}</b:Guid>
    <b:Title>Theatre as a Weapon: Worker's Theatre in the Soviet Union Germany and Britain, 1917-1934</b:Title>
    <b:City>London</b:City>
    <b:Publisher>Routledge and Kegan Paul</b:Publisher>
    <b:Year>1886</b:Year>
    <b:Author>
      <b:Author>
        <b:NameList>
          <b:Person>
            <b:Last>Stourac</b:Last>
            <b:First>Richard</b:First>
          </b:Person>
          <b:Person>
            <b:Last>McCreery</b:Last>
            <b:First>Kathleen</b:First>
          </b:Person>
        </b:NameList>
      </b:Author>
    </b:Author>
    <b:RefOrder>10</b:RefOrder>
  </b:Source>
</b:Sources>
</file>

<file path=customXml/itemProps1.xml><?xml version="1.0" encoding="utf-8"?>
<ds:datastoreItem xmlns:ds="http://schemas.openxmlformats.org/officeDocument/2006/customXml" ds:itemID="{600D6C67-B354-434F-9B9F-C47050ABC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961</Words>
  <Characters>5483</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2015-08-27T16:51:00Z</dcterms:created>
  <dcterms:modified xsi:type="dcterms:W3CDTF">2015-08-27T18:00:00Z</dcterms:modified>
</cp:coreProperties>
</file>