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D6D786E" w:rsidR="00B574C9" w:rsidRPr="00C55FAE" w:rsidRDefault="00697477" w:rsidP="00522EA3">
                <w:pPr>
                  <w:rPr>
                    <w:color w:val="000000" w:themeColor="text1"/>
                    <w:sz w:val="24"/>
                    <w:szCs w:val="24"/>
                  </w:rPr>
                </w:pPr>
                <w:r w:rsidRPr="00697477">
                  <w:t>Jeffrey</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4A93820B" w:rsidR="00B574C9" w:rsidRPr="00C55FAE" w:rsidRDefault="00697477" w:rsidP="00522EA3">
                <w:pPr>
                  <w:rPr>
                    <w:color w:val="000000" w:themeColor="text1"/>
                    <w:sz w:val="24"/>
                    <w:szCs w:val="24"/>
                  </w:rPr>
                </w:pPr>
                <w:proofErr w:type="spellStart"/>
                <w:r w:rsidRPr="00697477">
                  <w:rPr>
                    <w:lang w:val="en-US" w:eastAsia="ja-JP"/>
                  </w:rPr>
                  <w:t>Saletnik</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4F00EF9C" w14:textId="634CFC3B" w:rsidR="00697477" w:rsidRPr="00E14801" w:rsidRDefault="00697477" w:rsidP="00697477">
                <w:r w:rsidRPr="00E14801">
                  <w:t>Indiana University</w:t>
                </w:r>
                <w:r w:rsidR="00284173" w:rsidRPr="00E14801">
                  <w:t xml:space="preserve">, </w:t>
                </w:r>
                <w:r w:rsidRPr="00E14801">
                  <w:t>Department of the History of Art</w:t>
                </w:r>
              </w:p>
              <w:p w14:paraId="5EF9F4FF" w14:textId="26FA2216" w:rsidR="00B574C9" w:rsidRDefault="00B574C9" w:rsidP="00B574C9"/>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A17E99E" w:rsidR="003F0D73" w:rsidRPr="00FB589A" w:rsidRDefault="00697477" w:rsidP="005C191A">
                <w:r w:rsidRPr="00F00E95">
                  <w:t xml:space="preserve"> </w:t>
                </w:r>
                <w:r w:rsidR="00F00E95" w:rsidRPr="00F00E95">
                  <w:rPr>
                    <w:lang w:val="en-US" w:eastAsia="ja-JP"/>
                  </w:rPr>
                  <w:t>Black Mountain College</w:t>
                </w:r>
              </w:p>
            </w:tc>
          </w:sdtContent>
        </w:sdt>
      </w:tr>
      <w:tr w:rsidR="00464699" w14:paraId="09D06B43" w14:textId="77777777" w:rsidTr="00A16E07">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4DBEA162" w:rsidR="00E85A05" w:rsidRDefault="00505348" w:rsidP="00197C8B">
                <w:r w:rsidRPr="0066690E">
                  <w:t>Between 1933 and 1957</w:t>
                </w:r>
                <w:r>
                  <w:t>,</w:t>
                </w:r>
                <w:r w:rsidRPr="0066690E">
                  <w:t xml:space="preserve"> Black Mountain College served as an unlikely crucible of modernism. Despite its isolated location near Asheville</w:t>
                </w:r>
                <w:r>
                  <w:t>,</w:t>
                </w:r>
                <w:r w:rsidRPr="0066690E">
                  <w:t xml:space="preserve"> N</w:t>
                </w:r>
                <w:r>
                  <w:t xml:space="preserve">orth </w:t>
                </w:r>
                <w:r w:rsidRPr="0066690E">
                  <w:t>C</w:t>
                </w:r>
                <w:r>
                  <w:t>arolina</w:t>
                </w:r>
                <w:r w:rsidRPr="0066690E">
                  <w:t xml:space="preserve">, </w:t>
                </w:r>
                <w:r>
                  <w:t>the</w:t>
                </w:r>
                <w:r w:rsidRPr="0066690E">
                  <w:t xml:space="preserve"> educationally progressive ethos of the College appealed to</w:t>
                </w:r>
                <w:r>
                  <w:t xml:space="preserve"> prominent art</w:t>
                </w:r>
                <w:r w:rsidR="00197C8B">
                  <w:t>ists, architects, composers,</w:t>
                </w:r>
                <w:r>
                  <w:t xml:space="preserve"> critics</w:t>
                </w:r>
                <w:r w:rsidR="00197C8B">
                  <w:t>, musicologists</w:t>
                </w:r>
                <w:r w:rsidR="00197C8B" w:rsidRPr="0066690E">
                  <w:t>, and choreographer</w:t>
                </w:r>
                <w:r w:rsidR="00197C8B">
                  <w:t>s</w:t>
                </w:r>
                <w:r w:rsidRPr="0066690E">
                  <w:t xml:space="preserve">. Its </w:t>
                </w:r>
                <w:r>
                  <w:t xml:space="preserve">founding </w:t>
                </w:r>
                <w:r w:rsidRPr="0066690E">
                  <w:t>program was predicated upon a belief that the arts were central to higher education and that the practice of democracy would benefit from their curricular integration</w:t>
                </w:r>
                <w:r>
                  <w:t>. Participation was prioritis</w:t>
                </w:r>
                <w:r w:rsidRPr="0066690E">
                  <w:t xml:space="preserve">ed in all activities, particularly in learning. </w:t>
                </w:r>
              </w:p>
            </w:tc>
          </w:sdtContent>
        </w:sdt>
      </w:tr>
      <w:tr w:rsidR="003F0D73" w14:paraId="63D8B75E" w14:textId="77777777" w:rsidTr="003F0D73">
        <w:tc>
          <w:tcPr>
            <w:tcW w:w="9016" w:type="dxa"/>
            <w:tcMar>
              <w:top w:w="113" w:type="dxa"/>
              <w:bottom w:w="113" w:type="dxa"/>
            </w:tcMar>
          </w:tcPr>
          <w:p w14:paraId="4C347593" w14:textId="31CBFACE" w:rsidR="001B23A9" w:rsidRDefault="00D27EC4" w:rsidP="00E95F8F">
            <w:r>
              <w:t xml:space="preserve">File: </w:t>
            </w:r>
            <w:r w:rsidR="00863025" w:rsidRPr="00863025">
              <w:t>Black Mountain College</w:t>
            </w:r>
            <w:r w:rsidR="00863025">
              <w:t>.pdf</w:t>
            </w:r>
          </w:p>
          <w:p w14:paraId="44ED5FF8" w14:textId="77777777" w:rsidR="005C191A" w:rsidRDefault="005C191A" w:rsidP="0084715F">
            <w:pPr>
              <w:pStyle w:val="Caption"/>
            </w:pPr>
            <w:r>
              <w:fldChar w:fldCharType="begin"/>
            </w:r>
            <w:r>
              <w:instrText xml:space="preserve"> SEQ Figure \* ARABIC </w:instrText>
            </w:r>
            <w:r>
              <w:fldChar w:fldCharType="separate"/>
            </w:r>
            <w:r w:rsidR="005F6A63">
              <w:rPr>
                <w:noProof/>
              </w:rPr>
              <w:t>1</w:t>
            </w:r>
            <w:r>
              <w:rPr>
                <w:noProof/>
              </w:rPr>
              <w:fldChar w:fldCharType="end"/>
            </w:r>
            <w:r w:rsidR="0084715F">
              <w:t xml:space="preserve"> </w:t>
            </w:r>
            <w:r w:rsidR="007E5F31" w:rsidRPr="007F246E">
              <w:t>Dining Hall, Lake Eden,</w:t>
            </w:r>
            <w:r w:rsidR="007E5F31">
              <w:t xml:space="preserve"> Black Mountain College, 1940</w:t>
            </w:r>
            <w:r w:rsidR="007E5F31" w:rsidRPr="007F246E">
              <w:t>s</w:t>
            </w:r>
            <w:r w:rsidR="007E5F31">
              <w:t xml:space="preserve">. </w:t>
            </w:r>
          </w:p>
          <w:p w14:paraId="1BD2B8DF" w14:textId="70B939AE" w:rsidR="00E505D4" w:rsidRDefault="005C191A" w:rsidP="005C191A">
            <w:pPr>
              <w:pStyle w:val="Authornote"/>
            </w:pPr>
            <w:r>
              <w:t>[[</w:t>
            </w:r>
            <w:proofErr w:type="gramStart"/>
            <w:r>
              <w:t>source</w:t>
            </w:r>
            <w:proofErr w:type="gramEnd"/>
            <w:r>
              <w:t xml:space="preserve">: </w:t>
            </w:r>
            <w:r w:rsidR="007E5F31" w:rsidRPr="007F246E">
              <w:t>Black Mountain College Research Project Papers, Visual Materials, Box 90, North Carolina State Archives, Raleigh, NC.</w:t>
            </w:r>
            <w:r w:rsidR="007E5F31">
              <w:t xml:space="preserve"> </w:t>
            </w:r>
            <w:r w:rsidR="00E505D4" w:rsidRPr="007F246E">
              <w:t>http://www.flickr.com/photos/north-carolina-state-archives/3762271737/</w:t>
            </w:r>
            <w:r>
              <w:t>]]</w:t>
            </w:r>
          </w:p>
          <w:p w14:paraId="08C3A8F3" w14:textId="77777777" w:rsidR="005C191A" w:rsidRPr="005C191A" w:rsidRDefault="005C191A" w:rsidP="005C191A"/>
          <w:p w14:paraId="138F78B9" w14:textId="1EE9E58A" w:rsidR="001B23A9" w:rsidRPr="0066690E" w:rsidRDefault="001B23A9" w:rsidP="005F6A63">
            <w:r w:rsidRPr="0066690E">
              <w:t>Between 1933 and 1957</w:t>
            </w:r>
            <w:r w:rsidR="0068507C">
              <w:t>,</w:t>
            </w:r>
            <w:r w:rsidRPr="0066690E">
              <w:t xml:space="preserve"> Black Mountain College served as an unlikely crucible of modernism. Despite its isolated location near Asheville</w:t>
            </w:r>
            <w:r>
              <w:t>,</w:t>
            </w:r>
            <w:r w:rsidRPr="0066690E">
              <w:t xml:space="preserve"> N</w:t>
            </w:r>
            <w:r>
              <w:t xml:space="preserve">orth </w:t>
            </w:r>
            <w:r w:rsidRPr="0066690E">
              <w:t>C</w:t>
            </w:r>
            <w:r>
              <w:t>arolina</w:t>
            </w:r>
            <w:r w:rsidRPr="0066690E">
              <w:t xml:space="preserve">, at various times its permanent and summer faculty included the likes of </w:t>
            </w:r>
            <w:proofErr w:type="spellStart"/>
            <w:r w:rsidRPr="0066690E">
              <w:t>Anni</w:t>
            </w:r>
            <w:proofErr w:type="spellEnd"/>
            <w:r w:rsidRPr="0066690E">
              <w:t xml:space="preserve"> Albers, Josef Albers, </w:t>
            </w:r>
            <w:proofErr w:type="spellStart"/>
            <w:r w:rsidRPr="0066690E">
              <w:t>Ilya</w:t>
            </w:r>
            <w:proofErr w:type="spellEnd"/>
            <w:r w:rsidRPr="0066690E">
              <w:t xml:space="preserve"> </w:t>
            </w:r>
            <w:proofErr w:type="spellStart"/>
            <w:r w:rsidRPr="0066690E">
              <w:t>Bolotowsky</w:t>
            </w:r>
            <w:proofErr w:type="spellEnd"/>
            <w:r w:rsidRPr="0066690E">
              <w:t xml:space="preserve">, Jean </w:t>
            </w:r>
            <w:proofErr w:type="spellStart"/>
            <w:r w:rsidRPr="0066690E">
              <w:t>Charlot</w:t>
            </w:r>
            <w:proofErr w:type="spellEnd"/>
            <w:r w:rsidRPr="0066690E">
              <w:t xml:space="preserve">, </w:t>
            </w:r>
            <w:proofErr w:type="spellStart"/>
            <w:r w:rsidRPr="0066690E">
              <w:t>Lyonel</w:t>
            </w:r>
            <w:proofErr w:type="spellEnd"/>
            <w:r w:rsidRPr="0066690E">
              <w:t xml:space="preserve"> Feininger, Joseph Fiore, Buckminster Fuller, Walter Gropius, Karen Karnes, Franz Kline, Willem de </w:t>
            </w:r>
            <w:proofErr w:type="spellStart"/>
            <w:r w:rsidRPr="0066690E">
              <w:t>Kooning</w:t>
            </w:r>
            <w:proofErr w:type="spellEnd"/>
            <w:r w:rsidRPr="0066690E">
              <w:t xml:space="preserve">, Jacob Lawrence, Robert Motherwell, Beaumont Newhall, </w:t>
            </w:r>
            <w:proofErr w:type="spellStart"/>
            <w:r w:rsidRPr="0066690E">
              <w:t>Amédée</w:t>
            </w:r>
            <w:proofErr w:type="spellEnd"/>
            <w:r w:rsidRPr="0066690E">
              <w:t xml:space="preserve"> </w:t>
            </w:r>
            <w:proofErr w:type="spellStart"/>
            <w:r w:rsidRPr="0066690E">
              <w:t>Ozenfant</w:t>
            </w:r>
            <w:proofErr w:type="spellEnd"/>
            <w:r w:rsidRPr="0066690E">
              <w:t xml:space="preserve">, </w:t>
            </w:r>
            <w:proofErr w:type="spellStart"/>
            <w:r w:rsidRPr="0066690E">
              <w:t>Xanati</w:t>
            </w:r>
            <w:proofErr w:type="spellEnd"/>
            <w:r w:rsidRPr="0066690E">
              <w:t xml:space="preserve"> </w:t>
            </w:r>
            <w:proofErr w:type="spellStart"/>
            <w:r w:rsidRPr="0066690E">
              <w:t>Schawinsky</w:t>
            </w:r>
            <w:proofErr w:type="spellEnd"/>
            <w:r w:rsidRPr="0066690E">
              <w:t xml:space="preserve">, Ben Shahn, and Jack </w:t>
            </w:r>
            <w:proofErr w:type="spellStart"/>
            <w:r w:rsidRPr="0066690E">
              <w:t>Tworkov</w:t>
            </w:r>
            <w:proofErr w:type="spellEnd"/>
            <w:r w:rsidRPr="0066690E">
              <w:t xml:space="preserve">. These artists and architects were joined by composers John Cage, Lou Harrison, Ernst </w:t>
            </w:r>
            <w:proofErr w:type="spellStart"/>
            <w:r w:rsidRPr="0066690E">
              <w:t>Krenek</w:t>
            </w:r>
            <w:proofErr w:type="spellEnd"/>
            <w:r w:rsidRPr="0066690E">
              <w:t xml:space="preserve">, David Tudor, and Stefan </w:t>
            </w:r>
            <w:proofErr w:type="spellStart"/>
            <w:r w:rsidRPr="0066690E">
              <w:t>Wolpe</w:t>
            </w:r>
            <w:proofErr w:type="spellEnd"/>
            <w:r w:rsidRPr="0066690E">
              <w:t>; writers</w:t>
            </w:r>
            <w:r>
              <w:t xml:space="preserve"> and poets</w:t>
            </w:r>
            <w:r w:rsidRPr="0066690E">
              <w:t xml:space="preserve"> Robert </w:t>
            </w:r>
            <w:proofErr w:type="spellStart"/>
            <w:r w:rsidRPr="0066690E">
              <w:t>Creeley</w:t>
            </w:r>
            <w:proofErr w:type="spellEnd"/>
            <w:r w:rsidRPr="0066690E">
              <w:t xml:space="preserve">, Charles Olsen, and M. C. Richards; as well as critic Clement Greenberg, musicologist </w:t>
            </w:r>
            <w:r w:rsidRPr="0066690E">
              <w:rPr>
                <w:bCs/>
              </w:rPr>
              <w:t xml:space="preserve">Heinrich </w:t>
            </w:r>
            <w:proofErr w:type="spellStart"/>
            <w:r w:rsidRPr="0066690E">
              <w:rPr>
                <w:bCs/>
              </w:rPr>
              <w:t>Jalowetz</w:t>
            </w:r>
            <w:proofErr w:type="spellEnd"/>
            <w:r w:rsidRPr="0066690E">
              <w:t xml:space="preserve">, and choreographer </w:t>
            </w:r>
            <w:proofErr w:type="spellStart"/>
            <w:r w:rsidRPr="0066690E">
              <w:t>Merce</w:t>
            </w:r>
            <w:proofErr w:type="spellEnd"/>
            <w:r w:rsidRPr="0066690E">
              <w:t xml:space="preserve"> Cunningham. There are few evident commonalities among the practices of this mix of European émigrés and Americans, yet the educationally progressive ethos of the College appealed to each of them. Its </w:t>
            </w:r>
            <w:r>
              <w:t xml:space="preserve">founding </w:t>
            </w:r>
            <w:r w:rsidRPr="0066690E">
              <w:t>program was predicated upon a belief that the arts were central to higher education and that the practice of democracy would benefit from their curricular integration</w:t>
            </w:r>
            <w:r>
              <w:t>. Participation was prioritis</w:t>
            </w:r>
            <w:r w:rsidRPr="0066690E">
              <w:t>ed in all activities, particularly in learning. As John Andrew Rice, one of</w:t>
            </w:r>
            <w:r>
              <w:t xml:space="preserve"> the school</w:t>
            </w:r>
            <w:r w:rsidRPr="0066690E">
              <w:t xml:space="preserve">’s founders, claimed: </w:t>
            </w:r>
            <w:r w:rsidR="005C191A">
              <w:t>‘</w:t>
            </w:r>
            <w:r w:rsidRPr="0066690E">
              <w:t>To read a play is good, to see a play is better, but to act in a pla</w:t>
            </w:r>
            <w:r>
              <w:t>y</w:t>
            </w:r>
            <w:r w:rsidR="003C4FD0">
              <w:t>,</w:t>
            </w:r>
            <w:r>
              <w:t xml:space="preserve"> however awkwardly</w:t>
            </w:r>
            <w:r w:rsidR="003C4FD0">
              <w:t>,</w:t>
            </w:r>
            <w:r>
              <w:t xml:space="preserve"> is to realis</w:t>
            </w:r>
            <w:r w:rsidRPr="0066690E">
              <w:t>e the subtle relationship between sound and movement</w:t>
            </w:r>
            <w:r w:rsidR="005C191A">
              <w:t>’.</w:t>
            </w:r>
            <w:r w:rsidRPr="0066690E">
              <w:t xml:space="preserve"> </w:t>
            </w:r>
          </w:p>
          <w:p w14:paraId="02170F67" w14:textId="77777777" w:rsidR="001B23A9" w:rsidRPr="0066690E" w:rsidRDefault="001B23A9" w:rsidP="005F6A63"/>
          <w:p w14:paraId="49B68CC1" w14:textId="7554B37F" w:rsidR="001B23A9" w:rsidRDefault="001B23A9" w:rsidP="005F6A63">
            <w:r w:rsidRPr="0066690E">
              <w:t xml:space="preserve">Instruction began at the Blue Ridge Assembly campus of the College </w:t>
            </w:r>
            <w:r w:rsidR="00A16E07">
              <w:t>in the F</w:t>
            </w:r>
            <w:r w:rsidRPr="0066690E">
              <w:t>all</w:t>
            </w:r>
            <w:r w:rsidR="00A16E07">
              <w:t xml:space="preserve"> of</w:t>
            </w:r>
            <w:r w:rsidRPr="0066690E">
              <w:t xml:space="preserve"> 1933. Rice, Theodore Dreier, and other alienated faculty of Rollins College aspired to create an environment in keeping with the educational principles </w:t>
            </w:r>
            <w:r w:rsidR="005C191A">
              <w:t>of philosopher John Dewey (1859–</w:t>
            </w:r>
            <w:r w:rsidRPr="0066690E">
              <w:t xml:space="preserve">1952). Dewey’s ethics encouraged hands-on learning activities directed toward each individual’s abilities and thus </w:t>
            </w:r>
            <w:r w:rsidRPr="0066690E">
              <w:lastRenderedPageBreak/>
              <w:t xml:space="preserve">was antithetical to </w:t>
            </w:r>
            <w:r>
              <w:t>centralised</w:t>
            </w:r>
            <w:r w:rsidRPr="0066690E">
              <w:t xml:space="preserve"> teaching methods. Although prior</w:t>
            </w:r>
            <w:r>
              <w:t>ities changed during the school</w:t>
            </w:r>
            <w:r w:rsidRPr="0066690E">
              <w:t xml:space="preserve">’s </w:t>
            </w:r>
            <w:r w:rsidR="00A16E07">
              <w:t xml:space="preserve">thirty-seven </w:t>
            </w:r>
            <w:r w:rsidRPr="0066690E">
              <w:t>year history, some semblance of this attitude remained present in both the College’s curriculum and its sociology. In addition to coursework in various subjects, students develop</w:t>
            </w:r>
            <w:r>
              <w:t>ed an individualis</w:t>
            </w:r>
            <w:r w:rsidRPr="0066690E">
              <w:t>ed curriculum in consultation with the faculty and participate</w:t>
            </w:r>
            <w:r>
              <w:t>d</w:t>
            </w:r>
            <w:r w:rsidRPr="0066690E">
              <w:t xml:space="preserve"> in interdisciplinary seminars. Students were unaware of their grades; </w:t>
            </w:r>
            <w:proofErr w:type="gramStart"/>
            <w:r w:rsidRPr="0066690E">
              <w:t>comprehensive examinations required to graduate were evaluated by external reviewers</w:t>
            </w:r>
            <w:r w:rsidR="00A16E07">
              <w:t>,</w:t>
            </w:r>
            <w:r w:rsidRPr="0066690E">
              <w:t xml:space="preserve"> rather the College faculty</w:t>
            </w:r>
            <w:proofErr w:type="gramEnd"/>
            <w:r w:rsidRPr="0066690E">
              <w:t xml:space="preserve">. </w:t>
            </w:r>
            <w:r>
              <w:t>I</w:t>
            </w:r>
            <w:r w:rsidRPr="0066690E">
              <w:t xml:space="preserve">n 1941, </w:t>
            </w:r>
            <w:r>
              <w:t xml:space="preserve">the College </w:t>
            </w:r>
            <w:r w:rsidRPr="0066690E">
              <w:t>moved to a new campus on Lake Ed</w:t>
            </w:r>
            <w:r>
              <w:t>en. In advance of the move, students and faculty physically laboured to ready the site, which included their building a three-story studies building. As had been the case at the Blue Ridge campus, the new site included a small farm to provide food for faculty and students. As they had since the inception of the College, faculty and students resided on school grounds; they dined and socialised together. Academic life</w:t>
            </w:r>
            <w:r w:rsidRPr="0066690E">
              <w:t xml:space="preserve"> and daily life were integrated</w:t>
            </w:r>
            <w:r>
              <w:t xml:space="preserve">, although this became less of a priority in later years of the school’s existence.  </w:t>
            </w:r>
          </w:p>
          <w:p w14:paraId="7B4293A4" w14:textId="77777777" w:rsidR="001B23A9" w:rsidRDefault="001B23A9" w:rsidP="005F6A63"/>
          <w:p w14:paraId="4426EF04" w14:textId="13A48F35" w:rsidR="001B23A9" w:rsidRDefault="001B23A9" w:rsidP="005F6A63">
            <w:r w:rsidRPr="006923AE">
              <w:t>The College’s arts curriculum was particularly significant. Josef Albers and Charles Olsen were among the most influential per</w:t>
            </w:r>
            <w:r w:rsidR="00682F6F">
              <w:t xml:space="preserve">manent members of the faculty. </w:t>
            </w:r>
            <w:r w:rsidRPr="006923AE">
              <w:t>Many a</w:t>
            </w:r>
            <w:r w:rsidR="00682F6F">
              <w:t>ssociated with the College, such as</w:t>
            </w:r>
            <w:r w:rsidRPr="006923AE">
              <w:t xml:space="preserve"> John Cage, Buckminster Fuller, and Willem de </w:t>
            </w:r>
            <w:proofErr w:type="spellStart"/>
            <w:r w:rsidRPr="006923AE">
              <w:t>Kooning</w:t>
            </w:r>
            <w:proofErr w:type="spellEnd"/>
            <w:r w:rsidRPr="006923AE">
              <w:t xml:space="preserve">, taught only at the College’s primarily arts-oriented </w:t>
            </w:r>
            <w:r w:rsidR="00682F6F">
              <w:t>summer sessions and institutes.</w:t>
            </w:r>
            <w:r w:rsidRPr="006923AE">
              <w:t xml:space="preserve"> Albers, who had studied as well as taught at the Bauhaus, was brought to the College to develop its visual arts</w:t>
            </w:r>
            <w:r>
              <w:t xml:space="preserve"> curriculum in 1933. He remained at the school</w:t>
            </w:r>
            <w:r w:rsidRPr="006923AE">
              <w:t xml:space="preserve"> until 1949.</w:t>
            </w:r>
            <w:r>
              <w:t xml:space="preserve"> Albers introduced a material-oriented, process-based means of instruction meant to attune students to the properties of various visual material</w:t>
            </w:r>
            <w:r w:rsidR="00AA70EC">
              <w:t>s</w:t>
            </w:r>
            <w:r>
              <w:t xml:space="preserve">. He developed a relational program of </w:t>
            </w:r>
            <w:proofErr w:type="spellStart"/>
            <w:r>
              <w:t>color</w:t>
            </w:r>
            <w:proofErr w:type="spellEnd"/>
            <w:r>
              <w:t xml:space="preserve"> instruction at the College that ultimately would be published as the well-known text </w:t>
            </w:r>
            <w:r w:rsidRPr="001C533B">
              <w:rPr>
                <w:i/>
              </w:rPr>
              <w:t xml:space="preserve">Interaction of </w:t>
            </w:r>
            <w:proofErr w:type="spellStart"/>
            <w:r w:rsidRPr="001C533B">
              <w:rPr>
                <w:i/>
              </w:rPr>
              <w:t>Color</w:t>
            </w:r>
            <w:proofErr w:type="spellEnd"/>
            <w:r>
              <w:t xml:space="preserve"> (1963). Olsen, who joined the College faculty in 1948, advanced the notion of </w:t>
            </w:r>
            <w:r w:rsidR="005C191A">
              <w:t>‘</w:t>
            </w:r>
            <w:r>
              <w:t>projective verse</w:t>
            </w:r>
            <w:r w:rsidR="005C191A">
              <w:t>’</w:t>
            </w:r>
            <w:r>
              <w:t xml:space="preserve"> and, by extension, poetry that enabled a reader’s direct engagement with a text. He became the College rector in 1953, after which the school became increasingly literary in its orientation. Another poet teaching at the College, Robert </w:t>
            </w:r>
            <w:proofErr w:type="spellStart"/>
            <w:proofErr w:type="gramStart"/>
            <w:r>
              <w:t>Creeley</w:t>
            </w:r>
            <w:proofErr w:type="spellEnd"/>
            <w:r>
              <w:t>,</w:t>
            </w:r>
            <w:proofErr w:type="gramEnd"/>
            <w:r>
              <w:t xml:space="preserve"> edited the </w:t>
            </w:r>
            <w:r w:rsidRPr="00D72BAB">
              <w:rPr>
                <w:i/>
              </w:rPr>
              <w:t>Black Mountain Review</w:t>
            </w:r>
            <w:r w:rsidR="005C191A">
              <w:t xml:space="preserve"> (1954–19</w:t>
            </w:r>
            <w:r>
              <w:t xml:space="preserve">57), a magazine known for its employment of experimental verse. In addition to the visual arts and poetry, the College’s music curriculum was substantial. In summer 1944, Heinrich </w:t>
            </w:r>
            <w:proofErr w:type="spellStart"/>
            <w:r>
              <w:t>Jalowetz</w:t>
            </w:r>
            <w:proofErr w:type="spellEnd"/>
            <w:r>
              <w:t xml:space="preserve"> organized an institute that brought together prominent musicians in celebration of the seventieth birthday of c</w:t>
            </w:r>
            <w:r w:rsidR="005C191A">
              <w:t>omposer Arnold Schoenberg (1874–</w:t>
            </w:r>
            <w:r>
              <w:t>1951), who had revolutionized musical composition by introducing serial twelve-tone technique in the early twentieth century. During the summer of 1948, Cage organized a festival devoted t</w:t>
            </w:r>
            <w:r w:rsidR="005C191A">
              <w:t>o the music of Erik Satie (1866–</w:t>
            </w:r>
            <w:r>
              <w:t xml:space="preserve">1925). He presented his infamous lecture </w:t>
            </w:r>
            <w:r w:rsidR="005C191A">
              <w:t>‘</w:t>
            </w:r>
            <w:proofErr w:type="spellStart"/>
            <w:r>
              <w:t>Defense</w:t>
            </w:r>
            <w:proofErr w:type="spellEnd"/>
            <w:r>
              <w:t xml:space="preserve"> of Satie</w:t>
            </w:r>
            <w:r w:rsidR="005C191A">
              <w:t>’</w:t>
            </w:r>
            <w:r>
              <w:t xml:space="preserve"> and performed Satie’s compositions for pian</w:t>
            </w:r>
            <w:r w:rsidR="00DD11E0">
              <w:t>o; the College staged Satie’s p</w:t>
            </w:r>
            <w:r>
              <w:t>l</w:t>
            </w:r>
            <w:r w:rsidR="00DD11E0">
              <w:t>a</w:t>
            </w:r>
            <w:r>
              <w:t>y</w:t>
            </w:r>
            <w:r w:rsidR="00DD11E0">
              <w:t>,</w:t>
            </w:r>
            <w:r>
              <w:t xml:space="preserve"> </w:t>
            </w:r>
            <w:r w:rsidR="005C191A">
              <w:t>‘</w:t>
            </w:r>
            <w:r>
              <w:t>The Ruse of Medusa</w:t>
            </w:r>
            <w:r w:rsidR="005C191A">
              <w:t>’,</w:t>
            </w:r>
            <w:r>
              <w:t xml:space="preserve"> which starred Fuller, Elaine de </w:t>
            </w:r>
            <w:proofErr w:type="spellStart"/>
            <w:r>
              <w:t>Kooning</w:t>
            </w:r>
            <w:proofErr w:type="spellEnd"/>
            <w:r>
              <w:t xml:space="preserve">, and others in residence for the summer.  </w:t>
            </w:r>
          </w:p>
          <w:p w14:paraId="24AC50C9" w14:textId="77777777" w:rsidR="001B23A9" w:rsidRDefault="001B23A9" w:rsidP="005F6A63"/>
          <w:p w14:paraId="1ED4C6BB" w14:textId="206E3110" w:rsidR="00000B0D" w:rsidRPr="00000B0D" w:rsidRDefault="001B23A9" w:rsidP="0067266F">
            <w:r>
              <w:t xml:space="preserve">The College was officially dissolved in 1957, just as faith in the essentialist value system that underscored its founding principles began to wane, despite the College having hosted activities considered precursors for avant-garde practices in the 1960s. During the summer of 1952, for instance, Cage, </w:t>
            </w:r>
            <w:proofErr w:type="spellStart"/>
            <w:r>
              <w:t>Merce</w:t>
            </w:r>
            <w:proofErr w:type="spellEnd"/>
            <w:r>
              <w:t xml:space="preserve"> Cunningham, Robert Rauschenberg (a student), and others mounted an </w:t>
            </w:r>
            <w:r w:rsidR="005C191A">
              <w:t>‘</w:t>
            </w:r>
            <w:r>
              <w:t>untitled event</w:t>
            </w:r>
            <w:r w:rsidR="005C191A">
              <w:t>’</w:t>
            </w:r>
            <w:r>
              <w:t xml:space="preserve"> now regarded as central to the proto-history of Happenings and </w:t>
            </w:r>
            <w:proofErr w:type="spellStart"/>
            <w:r>
              <w:t>Fluxus</w:t>
            </w:r>
            <w:proofErr w:type="spellEnd"/>
            <w:r>
              <w:t xml:space="preserve"> art and performance. The success of the school’s students is also noteworthy; in addition to Rauschenberg, they include artists Ruth </w:t>
            </w:r>
            <w:proofErr w:type="spellStart"/>
            <w:r>
              <w:t>Asawa</w:t>
            </w:r>
            <w:proofErr w:type="spellEnd"/>
            <w:r>
              <w:t xml:space="preserve">, Ray Johnson, Kenneth Noland, Dorothea </w:t>
            </w:r>
            <w:proofErr w:type="spellStart"/>
            <w:r>
              <w:t>Rockburne</w:t>
            </w:r>
            <w:proofErr w:type="spellEnd"/>
            <w:r>
              <w:t xml:space="preserve">, and Cy </w:t>
            </w:r>
            <w:proofErr w:type="spellStart"/>
            <w:r>
              <w:t>Twombly</w:t>
            </w:r>
            <w:proofErr w:type="spellEnd"/>
            <w:r>
              <w:t xml:space="preserve">. </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6C7FBFAB" w14:textId="67545A99" w:rsidR="001B23A9" w:rsidRPr="00FD79C7" w:rsidRDefault="005C191A" w:rsidP="00B61691">
            <w:sdt>
              <w:sdtPr>
                <w:id w:val="2065594443"/>
                <w:citation/>
              </w:sdtPr>
              <w:sdtEndPr/>
              <w:sdtContent>
                <w:r w:rsidR="00B61691">
                  <w:fldChar w:fldCharType="begin"/>
                </w:r>
                <w:r>
                  <w:rPr>
                    <w:lang w:val="en-US"/>
                  </w:rPr>
                  <w:instrText xml:space="preserve">CITATION Dew07 \l 1033 </w:instrText>
                </w:r>
                <w:r w:rsidR="00B61691">
                  <w:fldChar w:fldCharType="separate"/>
                </w:r>
                <w:r>
                  <w:rPr>
                    <w:noProof/>
                    <w:lang w:val="en-US"/>
                  </w:rPr>
                  <w:t>(Dewey)</w:t>
                </w:r>
                <w:r w:rsidR="00B61691">
                  <w:fldChar w:fldCharType="end"/>
                </w:r>
              </w:sdtContent>
            </w:sdt>
          </w:p>
          <w:p w14:paraId="331AB0F4" w14:textId="7A3A7043" w:rsidR="001B23A9" w:rsidRDefault="005C191A" w:rsidP="00B61691">
            <w:sdt>
              <w:sdtPr>
                <w:id w:val="-443234447"/>
                <w:citation/>
              </w:sdtPr>
              <w:sdtEndPr/>
              <w:sdtContent>
                <w:r w:rsidR="00B61691">
                  <w:fldChar w:fldCharType="begin"/>
                </w:r>
                <w:r w:rsidR="00B61691">
                  <w:rPr>
                    <w:lang w:val="en-US"/>
                  </w:rPr>
                  <w:instrText xml:space="preserve"> CITATION Día14 \l 1033 </w:instrText>
                </w:r>
                <w:r w:rsidR="00B61691">
                  <w:fldChar w:fldCharType="separate"/>
                </w:r>
                <w:r w:rsidR="00B61691" w:rsidRPr="00B61691">
                  <w:rPr>
                    <w:noProof/>
                    <w:lang w:val="en-US"/>
                  </w:rPr>
                  <w:t>(Díaz)</w:t>
                </w:r>
                <w:r w:rsidR="00B61691">
                  <w:fldChar w:fldCharType="end"/>
                </w:r>
              </w:sdtContent>
            </w:sdt>
          </w:p>
          <w:p w14:paraId="76932844" w14:textId="14C7DE6B" w:rsidR="001B23A9" w:rsidRPr="00FD79C7" w:rsidRDefault="005C191A" w:rsidP="00B61691">
            <w:sdt>
              <w:sdtPr>
                <w:id w:val="-511609712"/>
                <w:citation/>
              </w:sdtPr>
              <w:sdtEndPr/>
              <w:sdtContent>
                <w:r w:rsidR="00B61691">
                  <w:fldChar w:fldCharType="begin"/>
                </w:r>
                <w:r>
                  <w:rPr>
                    <w:lang w:val="en-US"/>
                  </w:rPr>
                  <w:instrText xml:space="preserve">CITATION Dub72 \l 1033 </w:instrText>
                </w:r>
                <w:r w:rsidR="00B61691">
                  <w:fldChar w:fldCharType="separate"/>
                </w:r>
                <w:r>
                  <w:rPr>
                    <w:noProof/>
                    <w:lang w:val="en-US"/>
                  </w:rPr>
                  <w:t>(Duberman)</w:t>
                </w:r>
                <w:r w:rsidR="00B61691">
                  <w:fldChar w:fldCharType="end"/>
                </w:r>
              </w:sdtContent>
            </w:sdt>
          </w:p>
          <w:p w14:paraId="778F87E4" w14:textId="5703B6A8" w:rsidR="001B23A9" w:rsidRPr="00FD79C7" w:rsidRDefault="005C191A" w:rsidP="00B61691">
            <w:pPr>
              <w:rPr>
                <w:rStyle w:val="Emphasis"/>
                <w:rFonts w:ascii="Franklin Gothic Book" w:eastAsia="Times New Roman" w:hAnsi="Franklin Gothic Book" w:cs="Arial"/>
                <w:i w:val="0"/>
              </w:rPr>
            </w:pPr>
            <w:sdt>
              <w:sdtPr>
                <w:rPr>
                  <w:rStyle w:val="Emphasis"/>
                  <w:rFonts w:ascii="Franklin Gothic Book" w:eastAsia="Times New Roman" w:hAnsi="Franklin Gothic Book" w:cs="Arial"/>
                  <w:i w:val="0"/>
                </w:rPr>
                <w:id w:val="1188790955"/>
                <w:citation/>
              </w:sdtPr>
              <w:sdtEndPr>
                <w:rPr>
                  <w:rStyle w:val="Emphasis"/>
                </w:rPr>
              </w:sdtEndPr>
              <w:sdtContent>
                <w:r w:rsidR="00B61691">
                  <w:rPr>
                    <w:rStyle w:val="Emphasis"/>
                    <w:rFonts w:ascii="Franklin Gothic Book" w:eastAsia="Times New Roman" w:hAnsi="Franklin Gothic Book" w:cs="Arial"/>
                    <w:i w:val="0"/>
                  </w:rPr>
                  <w:fldChar w:fldCharType="begin"/>
                </w:r>
                <w:r>
                  <w:rPr>
                    <w:rStyle w:val="Emphasis"/>
                    <w:rFonts w:ascii="Franklin Gothic Book" w:eastAsia="Times New Roman" w:hAnsi="Franklin Gothic Book" w:cs="Arial"/>
                    <w:i w:val="0"/>
                    <w:lang w:val="en-US"/>
                  </w:rPr>
                  <w:instrText xml:space="preserve">CITATION Har87 \l 1033 </w:instrText>
                </w:r>
                <w:r w:rsidR="00B61691">
                  <w:rPr>
                    <w:rStyle w:val="Emphasis"/>
                    <w:rFonts w:ascii="Franklin Gothic Book" w:eastAsia="Times New Roman" w:hAnsi="Franklin Gothic Book" w:cs="Arial"/>
                    <w:i w:val="0"/>
                  </w:rPr>
                  <w:fldChar w:fldCharType="separate"/>
                </w:r>
                <w:r w:rsidRPr="005C191A">
                  <w:rPr>
                    <w:rFonts w:ascii="Franklin Gothic Book" w:eastAsia="Times New Roman" w:hAnsi="Franklin Gothic Book" w:cs="Arial"/>
                    <w:noProof/>
                    <w:lang w:val="en-US"/>
                  </w:rPr>
                  <w:t>(M. E. Harris)</w:t>
                </w:r>
                <w:r w:rsidR="00B61691">
                  <w:rPr>
                    <w:rStyle w:val="Emphasis"/>
                    <w:rFonts w:ascii="Franklin Gothic Book" w:eastAsia="Times New Roman" w:hAnsi="Franklin Gothic Book" w:cs="Arial"/>
                    <w:i w:val="0"/>
                  </w:rPr>
                  <w:fldChar w:fldCharType="end"/>
                </w:r>
              </w:sdtContent>
            </w:sdt>
          </w:p>
          <w:p w14:paraId="08F1D99F" w14:textId="6E4C48C6" w:rsidR="001B23A9" w:rsidRPr="00FD79C7" w:rsidRDefault="005C191A" w:rsidP="00B61691">
            <w:sdt>
              <w:sdtPr>
                <w:id w:val="1440874198"/>
                <w:citation/>
              </w:sdtPr>
              <w:sdtEndPr/>
              <w:sdtContent>
                <w:r w:rsidR="00B61691">
                  <w:fldChar w:fldCharType="begin"/>
                </w:r>
                <w:r w:rsidR="00B61691">
                  <w:rPr>
                    <w:lang w:val="en-US"/>
                  </w:rPr>
                  <w:instrText xml:space="preserve"> CITATION Har05 \l 1033 </w:instrText>
                </w:r>
                <w:r w:rsidR="00B61691">
                  <w:fldChar w:fldCharType="separate"/>
                </w:r>
                <w:r w:rsidR="00B61691" w:rsidRPr="00B61691">
                  <w:rPr>
                    <w:noProof/>
                    <w:lang w:val="en-US"/>
                  </w:rPr>
                  <w:t>(M. E. Harris)</w:t>
                </w:r>
                <w:r w:rsidR="00B61691">
                  <w:fldChar w:fldCharType="end"/>
                </w:r>
              </w:sdtContent>
            </w:sdt>
          </w:p>
          <w:p w14:paraId="5F96E9A5" w14:textId="79F863DC" w:rsidR="001B23A9" w:rsidRPr="00FD79C7" w:rsidRDefault="005C191A" w:rsidP="00B61691">
            <w:sdt>
              <w:sdtPr>
                <w:id w:val="-208884817"/>
                <w:citation/>
              </w:sdtPr>
              <w:sdtEndPr/>
              <w:sdtContent>
                <w:r w:rsidR="00B61691">
                  <w:fldChar w:fldCharType="begin"/>
                </w:r>
                <w:r>
                  <w:rPr>
                    <w:lang w:val="en-US"/>
                  </w:rPr>
                  <w:instrText xml:space="preserve">CITATION Kat02 \l 1033 </w:instrText>
                </w:r>
                <w:r w:rsidR="00B61691">
                  <w:fldChar w:fldCharType="separate"/>
                </w:r>
                <w:r>
                  <w:rPr>
                    <w:noProof/>
                    <w:lang w:val="en-US"/>
                  </w:rPr>
                  <w:t>(Katz)</w:t>
                </w:r>
                <w:r w:rsidR="00B61691">
                  <w:fldChar w:fldCharType="end"/>
                </w:r>
              </w:sdtContent>
            </w:sdt>
          </w:p>
          <w:p w14:paraId="24ECF72A" w14:textId="6383307B" w:rsidR="001B23A9" w:rsidRDefault="005C191A" w:rsidP="00B61691">
            <w:sdt>
              <w:sdtPr>
                <w:id w:val="138236793"/>
                <w:citation/>
              </w:sdtPr>
              <w:sdtEndPr/>
              <w:sdtContent>
                <w:r w:rsidR="00B61691">
                  <w:fldChar w:fldCharType="begin"/>
                </w:r>
                <w:r>
                  <w:rPr>
                    <w:lang w:val="en-US"/>
                  </w:rPr>
                  <w:instrText xml:space="preserve">CITATION Lan90 \l 1033 </w:instrText>
                </w:r>
                <w:r w:rsidR="00B61691">
                  <w:fldChar w:fldCharType="separate"/>
                </w:r>
                <w:r>
                  <w:rPr>
                    <w:noProof/>
                    <w:lang w:val="en-US"/>
                  </w:rPr>
                  <w:t>(Lane)</w:t>
                </w:r>
                <w:r w:rsidR="00B61691">
                  <w:fldChar w:fldCharType="end"/>
                </w:r>
              </w:sdtContent>
            </w:sdt>
            <w:r w:rsidR="001B23A9">
              <w:t xml:space="preserve">  </w:t>
            </w:r>
          </w:p>
          <w:p w14:paraId="31D2C1E7" w14:textId="08D66844" w:rsidR="001B23A9" w:rsidRPr="00FD79C7" w:rsidRDefault="005C191A" w:rsidP="00B61691">
            <w:sdt>
              <w:sdtPr>
                <w:id w:val="-463349188"/>
                <w:citation/>
              </w:sdtPr>
              <w:sdtEndPr/>
              <w:sdtContent>
                <w:r w:rsidR="00B61691">
                  <w:fldChar w:fldCharType="begin"/>
                </w:r>
                <w:r>
                  <w:rPr>
                    <w:lang w:val="en-US"/>
                  </w:rPr>
                  <w:instrText xml:space="preserve">CITATION Mol15 \l 1033 </w:instrText>
                </w:r>
                <w:r w:rsidR="00B61691">
                  <w:fldChar w:fldCharType="separate"/>
                </w:r>
                <w:r>
                  <w:rPr>
                    <w:noProof/>
                    <w:lang w:val="en-US"/>
                  </w:rPr>
                  <w:t>(Molesworth)</w:t>
                </w:r>
                <w:r w:rsidR="00B61691">
                  <w:fldChar w:fldCharType="end"/>
                </w:r>
              </w:sdtContent>
            </w:sdt>
          </w:p>
          <w:p w14:paraId="63759E06" w14:textId="0256C88F" w:rsidR="002A756B" w:rsidRPr="002A756B" w:rsidRDefault="005C191A" w:rsidP="00B61691">
            <w:sdt>
              <w:sdtPr>
                <w:id w:val="1746757405"/>
                <w:citation/>
              </w:sdtPr>
              <w:sdtEndPr/>
              <w:sdtContent>
                <w:bookmarkStart w:id="0" w:name="_GoBack"/>
                <w:r w:rsidR="00B61691">
                  <w:fldChar w:fldCharType="begin"/>
                </w:r>
                <w:r>
                  <w:rPr>
                    <w:lang w:val="en-US"/>
                  </w:rPr>
                  <w:instrText xml:space="preserve">CITATION Rey98 \l 1033 </w:instrText>
                </w:r>
                <w:r w:rsidR="00B61691">
                  <w:fldChar w:fldCharType="separate"/>
                </w:r>
                <w:r>
                  <w:rPr>
                    <w:noProof/>
                    <w:lang w:val="en-US"/>
                  </w:rPr>
                  <w:t>(Reynolds)</w:t>
                </w:r>
                <w:r w:rsidR="00B61691">
                  <w:fldChar w:fldCharType="end"/>
                </w:r>
                <w:bookmarkEnd w:id="0"/>
              </w:sdtContent>
            </w:sdt>
          </w:p>
        </w:tc>
      </w:tr>
    </w:tbl>
    <w:p w14:paraId="4D036C04" w14:textId="34E427F7" w:rsidR="00C27FAB" w:rsidRPr="00F36937" w:rsidRDefault="00C27FAB" w:rsidP="005F6A63">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A16E07" w:rsidRDefault="00A16E07" w:rsidP="007A0D55">
      <w:pPr>
        <w:spacing w:after="0" w:line="240" w:lineRule="auto"/>
      </w:pPr>
      <w:r>
        <w:separator/>
      </w:r>
    </w:p>
  </w:endnote>
  <w:endnote w:type="continuationSeparator" w:id="0">
    <w:p w14:paraId="378E258A" w14:textId="77777777" w:rsidR="00A16E07" w:rsidRDefault="00A16E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A16E07" w:rsidRDefault="00A16E07" w:rsidP="007A0D55">
      <w:pPr>
        <w:spacing w:after="0" w:line="240" w:lineRule="auto"/>
      </w:pPr>
      <w:r>
        <w:separator/>
      </w:r>
    </w:p>
  </w:footnote>
  <w:footnote w:type="continuationSeparator" w:id="0">
    <w:p w14:paraId="5FEA30A3" w14:textId="77777777" w:rsidR="00A16E07" w:rsidRDefault="00A16E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A16E07" w:rsidRDefault="00A16E0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A16E07" w:rsidRDefault="00A16E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97C8B"/>
    <w:rsid w:val="001A21F3"/>
    <w:rsid w:val="001A2537"/>
    <w:rsid w:val="001A6A06"/>
    <w:rsid w:val="001B23A9"/>
    <w:rsid w:val="00210C03"/>
    <w:rsid w:val="002162E2"/>
    <w:rsid w:val="00225C5A"/>
    <w:rsid w:val="00230B10"/>
    <w:rsid w:val="00234353"/>
    <w:rsid w:val="00244BB0"/>
    <w:rsid w:val="00284173"/>
    <w:rsid w:val="002A0A0D"/>
    <w:rsid w:val="002A2C58"/>
    <w:rsid w:val="002A756B"/>
    <w:rsid w:val="002B0B37"/>
    <w:rsid w:val="0030662D"/>
    <w:rsid w:val="003235A7"/>
    <w:rsid w:val="003677B6"/>
    <w:rsid w:val="00386BB1"/>
    <w:rsid w:val="003C4FD0"/>
    <w:rsid w:val="003D3579"/>
    <w:rsid w:val="003E2795"/>
    <w:rsid w:val="003F0D73"/>
    <w:rsid w:val="00462DBE"/>
    <w:rsid w:val="00464699"/>
    <w:rsid w:val="00480BBC"/>
    <w:rsid w:val="00483379"/>
    <w:rsid w:val="00487BC5"/>
    <w:rsid w:val="00496888"/>
    <w:rsid w:val="004A7476"/>
    <w:rsid w:val="004E5896"/>
    <w:rsid w:val="004F323A"/>
    <w:rsid w:val="00505348"/>
    <w:rsid w:val="00513EE6"/>
    <w:rsid w:val="00522EA3"/>
    <w:rsid w:val="00534F8F"/>
    <w:rsid w:val="00590035"/>
    <w:rsid w:val="005B177E"/>
    <w:rsid w:val="005B3921"/>
    <w:rsid w:val="005C191A"/>
    <w:rsid w:val="005F26D7"/>
    <w:rsid w:val="005F5450"/>
    <w:rsid w:val="005F6A63"/>
    <w:rsid w:val="00602F9F"/>
    <w:rsid w:val="0067266F"/>
    <w:rsid w:val="00682F6F"/>
    <w:rsid w:val="0068507C"/>
    <w:rsid w:val="00697477"/>
    <w:rsid w:val="006D0412"/>
    <w:rsid w:val="007411B9"/>
    <w:rsid w:val="00780D95"/>
    <w:rsid w:val="00780DC7"/>
    <w:rsid w:val="007A0D55"/>
    <w:rsid w:val="007B3377"/>
    <w:rsid w:val="007E5F31"/>
    <w:rsid w:val="007E5F44"/>
    <w:rsid w:val="00802B84"/>
    <w:rsid w:val="00821DE3"/>
    <w:rsid w:val="00846CE1"/>
    <w:rsid w:val="0084715F"/>
    <w:rsid w:val="00853C4A"/>
    <w:rsid w:val="00863025"/>
    <w:rsid w:val="00897586"/>
    <w:rsid w:val="008A3713"/>
    <w:rsid w:val="008A5B87"/>
    <w:rsid w:val="00922950"/>
    <w:rsid w:val="009A7264"/>
    <w:rsid w:val="009D1606"/>
    <w:rsid w:val="009E18A1"/>
    <w:rsid w:val="009E73D7"/>
    <w:rsid w:val="00A16E07"/>
    <w:rsid w:val="00A27D2C"/>
    <w:rsid w:val="00A76FD9"/>
    <w:rsid w:val="00AA70EC"/>
    <w:rsid w:val="00AB436D"/>
    <w:rsid w:val="00AD2F24"/>
    <w:rsid w:val="00AD4844"/>
    <w:rsid w:val="00B219AE"/>
    <w:rsid w:val="00B33145"/>
    <w:rsid w:val="00B574C9"/>
    <w:rsid w:val="00B61691"/>
    <w:rsid w:val="00BC39C9"/>
    <w:rsid w:val="00BE5BF7"/>
    <w:rsid w:val="00BF40E1"/>
    <w:rsid w:val="00C27FAB"/>
    <w:rsid w:val="00C358D4"/>
    <w:rsid w:val="00C55FAE"/>
    <w:rsid w:val="00C6296B"/>
    <w:rsid w:val="00CC586D"/>
    <w:rsid w:val="00CF1542"/>
    <w:rsid w:val="00CF3EC5"/>
    <w:rsid w:val="00D27EC4"/>
    <w:rsid w:val="00D656DA"/>
    <w:rsid w:val="00D83300"/>
    <w:rsid w:val="00DA483A"/>
    <w:rsid w:val="00DC6B48"/>
    <w:rsid w:val="00DD11E0"/>
    <w:rsid w:val="00DF01B0"/>
    <w:rsid w:val="00E14801"/>
    <w:rsid w:val="00E505D4"/>
    <w:rsid w:val="00E76A27"/>
    <w:rsid w:val="00E81916"/>
    <w:rsid w:val="00E85A05"/>
    <w:rsid w:val="00E95829"/>
    <w:rsid w:val="00E95F8F"/>
    <w:rsid w:val="00EA606C"/>
    <w:rsid w:val="00EB0C8C"/>
    <w:rsid w:val="00EB51FD"/>
    <w:rsid w:val="00EB77DB"/>
    <w:rsid w:val="00ED139F"/>
    <w:rsid w:val="00EF74F7"/>
    <w:rsid w:val="00F00E95"/>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Emphasis">
    <w:name w:val="Emphasis"/>
    <w:basedOn w:val="DefaultParagraphFont"/>
    <w:uiPriority w:val="20"/>
    <w:qFormat/>
    <w:rsid w:val="001B23A9"/>
    <w:rPr>
      <w:i/>
      <w:iCs/>
    </w:rPr>
  </w:style>
  <w:style w:type="paragraph" w:styleId="Caption">
    <w:name w:val="caption"/>
    <w:basedOn w:val="Normal"/>
    <w:next w:val="Normal"/>
    <w:uiPriority w:val="35"/>
    <w:semiHidden/>
    <w:qFormat/>
    <w:rsid w:val="005F6A6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Emphasis">
    <w:name w:val="Emphasis"/>
    <w:basedOn w:val="DefaultParagraphFont"/>
    <w:uiPriority w:val="20"/>
    <w:qFormat/>
    <w:rsid w:val="001B23A9"/>
    <w:rPr>
      <w:i/>
      <w:iCs/>
    </w:rPr>
  </w:style>
  <w:style w:type="paragraph" w:styleId="Caption">
    <w:name w:val="caption"/>
    <w:basedOn w:val="Normal"/>
    <w:next w:val="Normal"/>
    <w:uiPriority w:val="35"/>
    <w:semiHidden/>
    <w:qFormat/>
    <w:rsid w:val="005F6A6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D61A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Día14</b:Tag>
    <b:SourceType>Book</b:SourceType>
    <b:Guid>{EE1F69BB-BA04-2940-8A06-76344F44C32D}</b:Guid>
    <b:Title>The Experimenters: Chance and Design at Black Mountain College</b:Title>
    <b:City>Chicago</b:City>
    <b:Publisher>U of Chicago P</b:Publisher>
    <b:Year>2014</b:Year>
    <b:Author>
      <b:Author>
        <b:NameList>
          <b:Person>
            <b:Last>Díaz</b:Last>
            <b:First>Eva</b:First>
          </b:Person>
        </b:NameList>
      </b:Author>
    </b:Author>
    <b:RefOrder>2</b:RefOrder>
  </b:Source>
  <b:Source>
    <b:Tag>Har05</b:Tag>
    <b:SourceType>Book</b:SourceType>
    <b:Guid>{0969D9F6-0180-AE4D-8C2C-A4650FAF7D24}</b:Guid>
    <b:Title>Starting at Zero: Black Mountain College (1933-57)</b:Title>
    <b:City>Bristol; Cambridge</b:City>
    <b:Publisher>Arnolfini Gallery; Kettle's Yard Gallery</b:Publisher>
    <b:Year>2005</b:Year>
    <b:Author>
      <b:Author>
        <b:NameList>
          <b:Person>
            <b:Last>Harris</b:Last>
            <b:First>M.</b:First>
            <b:Middle>E., et al.</b:Middle>
          </b:Person>
        </b:NameList>
      </b:Author>
    </b:Author>
    <b:RefOrder>5</b:RefOrder>
  </b:Source>
  <b:Source>
    <b:Tag>Dew07</b:Tag>
    <b:SourceType>Book</b:SourceType>
    <b:Guid>{22B6953F-6D55-CC45-8132-BBDFDD453A6F}</b:Guid>
    <b:Title>Beyond Maximus: The Construction of Public Voice in Black Mountain Poetry</b:Title>
    <b:City>Stanford</b:City>
    <b:Publisher>Stanford UP</b:Publisher>
    <b:Year>2007</b:Year>
    <b:Author>
      <b:Author>
        <b:NameList>
          <b:Person>
            <b:Last>Dewey</b:Last>
            <b:First>Anne</b:First>
            <b:Middle>Day</b:Middle>
          </b:Person>
        </b:NameList>
      </b:Author>
    </b:Author>
    <b:RefOrder>1</b:RefOrder>
  </b:Source>
  <b:Source>
    <b:Tag>Dub72</b:Tag>
    <b:SourceType>Book</b:SourceType>
    <b:Guid>{475AF6DD-39FE-C146-9CBD-0970929199C7}</b:Guid>
    <b:Title>Black Mountain College: An Exploration in Community</b:Title>
    <b:City>New York</b:City>
    <b:StateProvince>NY</b:StateProvince>
    <b:Publisher>Dutton</b:Publisher>
    <b:Year>1972</b:Year>
    <b:Author>
      <b:Author>
        <b:NameList>
          <b:Person>
            <b:Last>Duberman</b:Last>
            <b:First>Martin</b:First>
            <b:Middle>B.</b:Middle>
          </b:Person>
        </b:NameList>
      </b:Author>
    </b:Author>
    <b:RefOrder>3</b:RefOrder>
  </b:Source>
  <b:Source>
    <b:Tag>Har87</b:Tag>
    <b:SourceType>Book</b:SourceType>
    <b:Guid>{791CDDB6-BC88-4844-95B5-4FFB78CE2B0D}</b:Guid>
    <b:Title>The Arts at Black Mountain College</b:Title>
    <b:City>Cambridge</b:City>
    <b:StateProvince>Mass.</b:StateProvince>
    <b:Publisher>MIT P</b:Publisher>
    <b:Year>1987</b:Year>
    <b:Author>
      <b:Author>
        <b:NameList>
          <b:Person>
            <b:Last>Harris</b:Last>
            <b:First>Mary</b:First>
            <b:Middle>Emma</b:Middle>
          </b:Person>
        </b:NameList>
      </b:Author>
    </b:Author>
    <b:RefOrder>4</b:RefOrder>
  </b:Source>
  <b:Source>
    <b:Tag>Kat02</b:Tag>
    <b:SourceType>Book</b:SourceType>
    <b:Guid>{A3EDFA96-A6E6-8144-8D19-DA2EE4E811E9}</b:Guid>
    <b:Title>Black Mountain College: Experiment in Art</b:Title>
    <b:City>Cambridge</b:City>
    <b:StateProvince>Mass.</b:StateProvince>
    <b:Publisher>MIT P</b:Publisher>
    <b:Year>2002</b:Year>
    <b:Author>
      <b:Editor>
        <b:NameList>
          <b:Person>
            <b:Last>Katz</b:Last>
            <b:First>Vincent</b:First>
          </b:Person>
        </b:NameList>
      </b:Editor>
    </b:Author>
    <b:RefOrder>6</b:RefOrder>
  </b:Source>
  <b:Source>
    <b:Tag>Lan90</b:Tag>
    <b:SourceType>Book</b:SourceType>
    <b:Guid>{7C89F15F-0125-374D-9AE0-02B8509B83B4}</b:Guid>
    <b:Title>Black Mountain College: Sprouted Seeds, An Anthology of Personal Accounts</b:Title>
    <b:City>Knoxville</b:City>
    <b:Publisher>U of Tennessee P</b:Publisher>
    <b:Year>1990</b:Year>
    <b:Author>
      <b:Editor>
        <b:NameList>
          <b:Person>
            <b:Last>Lane</b:Last>
            <b:First>Mervin</b:First>
          </b:Person>
        </b:NameList>
      </b:Editor>
    </b:Author>
    <b:RefOrder>7</b:RefOrder>
  </b:Source>
  <b:Source>
    <b:Tag>Mol15</b:Tag>
    <b:SourceType>Book</b:SourceType>
    <b:Guid>{1BEDB5F5-D62D-A24C-A42A-A4F606427A70}</b:Guid>
    <b:Author>
      <b:Author>
        <b:NameList>
          <b:Person>
            <b:Last>Molesworth</b:Last>
            <b:First>Helen.,</b:First>
            <b:Middle>et al.</b:Middle>
          </b:Person>
        </b:NameList>
      </b:Author>
    </b:Author>
    <b:Title>Leap Before You Look: Black Mountain College (1933-1957)</b:Title>
    <b:City>Boston</b:City>
    <b:Publisher>The Institute of Contemporary Art</b:Publisher>
    <b:Year>2015</b:Year>
    <b:RefOrder>8</b:RefOrder>
  </b:Source>
  <b:Source>
    <b:Tag>Rey98</b:Tag>
    <b:SourceType>Book</b:SourceType>
    <b:Guid>{F4731C14-94EE-1D44-8B1B-2245B8DEADAE}</b:Guid>
    <b:Author>
      <b:Author>
        <b:NameList>
          <b:Person>
            <b:Last>Reynolds</b:Last>
            <b:First>Katherine</b:First>
          </b:Person>
        </b:NameList>
      </b:Author>
    </b:Author>
    <b:Title>Visions and Vanities: John Andrew Rice of Black Mountain College</b:Title>
    <b:City>Baton Rouge</b:City>
    <b:Publisher>Louisiana State UP</b:Publisher>
    <b:Year>1998</b:Year>
    <b:RefOrder>9</b:RefOrder>
  </b:Source>
</b:Sources>
</file>

<file path=customXml/itemProps1.xml><?xml version="1.0" encoding="utf-8"?>
<ds:datastoreItem xmlns:ds="http://schemas.openxmlformats.org/officeDocument/2006/customXml" ds:itemID="{3EF024FD-7A33-F540-AE59-9C1899701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37</TotalTime>
  <Pages>3</Pages>
  <Words>1062</Words>
  <Characters>6086</Characters>
  <Application>Microsoft Macintosh Word</Application>
  <DocSecurity>0</DocSecurity>
  <Lines>160</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Caroline Winter</cp:lastModifiedBy>
  <cp:revision>24</cp:revision>
  <dcterms:created xsi:type="dcterms:W3CDTF">2014-06-17T04:01:00Z</dcterms:created>
  <dcterms:modified xsi:type="dcterms:W3CDTF">2016-03-16T05:18:00Z</dcterms:modified>
</cp:coreProperties>
</file>