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332EC" w:rsidP="00837FE7">
            <w:pPr>
              <w:spacing w:after="0" w:line="240" w:lineRule="auto"/>
            </w:pPr>
            <w:r>
              <w:rPr>
                <w:rStyle w:val="PlaceholderText"/>
              </w:rPr>
              <w:t>David</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332EC" w:rsidP="00837FE7">
            <w:pPr>
              <w:spacing w:after="0" w:line="240" w:lineRule="auto"/>
            </w:pPr>
            <w:r>
              <w:rPr>
                <w:rStyle w:val="PlaceholderText"/>
              </w:rPr>
              <w:t>Beard</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C332EC" w:rsidP="00837FE7">
            <w:pPr>
              <w:spacing w:after="0" w:line="240" w:lineRule="auto"/>
            </w:pPr>
            <w:r>
              <w:rPr>
                <w:rStyle w:val="PlaceholderText"/>
              </w:rPr>
              <w:t>University of Minnesota</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C332EC" w:rsidP="00837FE7">
            <w:pPr>
              <w:spacing w:after="0" w:line="240" w:lineRule="auto"/>
              <w:rPr>
                <w:b/>
                <w:color w:val="000000"/>
              </w:rPr>
            </w:pPr>
            <w:r w:rsidRPr="00C332EC">
              <w:rPr>
                <w:b/>
                <w:color w:val="000000"/>
                <w:lang w:val="en-US"/>
              </w:rPr>
              <w:t>Malinowski, Bronisław (1884-1942)</w:t>
            </w:r>
          </w:p>
        </w:tc>
      </w:tr>
      <w:tr w:rsidR="00464699" w:rsidRPr="00837FE7" w:rsidTr="00837FE7">
        <w:tc>
          <w:tcPr>
            <w:tcW w:w="9016" w:type="dxa"/>
            <w:shd w:val="clear" w:color="auto" w:fill="auto"/>
            <w:tcMar>
              <w:top w:w="113" w:type="dxa"/>
              <w:bottom w:w="113" w:type="dxa"/>
            </w:tcMar>
          </w:tcPr>
          <w:p w:rsidR="00464699" w:rsidRPr="00E06B87" w:rsidRDefault="00C332EC" w:rsidP="00837FE7">
            <w:pPr>
              <w:spacing w:after="0" w:line="240" w:lineRule="auto"/>
              <w:rPr>
                <w:color w:val="000000"/>
              </w:rPr>
            </w:pPr>
            <w:r w:rsidRPr="00C332EC">
              <w:rPr>
                <w:b/>
                <w:color w:val="000000"/>
                <w:lang w:val="en-US"/>
              </w:rPr>
              <w:t>Malinowski, Bronisław</w:t>
            </w:r>
            <w:r>
              <w:rPr>
                <w:b/>
                <w:color w:val="000000"/>
                <w:lang w:val="en-US"/>
              </w:rPr>
              <w:t xml:space="preserve"> Kasper</w:t>
            </w:r>
            <w:r w:rsidRPr="00C332EC">
              <w:rPr>
                <w:b/>
                <w:color w:val="000000"/>
                <w:lang w:val="en-US"/>
              </w:rPr>
              <w:t xml:space="preserve"> (1884-1942)</w:t>
            </w:r>
          </w:p>
        </w:tc>
      </w:tr>
      <w:tr w:rsidR="00E85A05" w:rsidRPr="00837FE7" w:rsidTr="00837FE7">
        <w:tc>
          <w:tcPr>
            <w:tcW w:w="9016" w:type="dxa"/>
            <w:shd w:val="clear" w:color="auto" w:fill="auto"/>
            <w:tcMar>
              <w:top w:w="113" w:type="dxa"/>
              <w:bottom w:w="113" w:type="dxa"/>
            </w:tcMar>
          </w:tcPr>
          <w:p w:rsidR="00E85A05" w:rsidRPr="00E06B87" w:rsidRDefault="00852B9A" w:rsidP="00837FE7">
            <w:pPr>
              <w:spacing w:after="0" w:line="240" w:lineRule="auto"/>
              <w:rPr>
                <w:color w:val="000000"/>
              </w:rPr>
            </w:pPr>
            <w:r w:rsidRPr="00C332EC">
              <w:rPr>
                <w:color w:val="000000"/>
              </w:rPr>
              <w:t xml:space="preserve">Born Bronisław Kasper Malinowski to a family in the Polish nobility (the </w:t>
            </w:r>
            <w:r w:rsidRPr="00C332EC">
              <w:rPr>
                <w:i/>
                <w:color w:val="000000"/>
              </w:rPr>
              <w:t>szlachta</w:t>
            </w:r>
            <w:r w:rsidRPr="00C332EC">
              <w:rPr>
                <w:color w:val="000000"/>
              </w:rPr>
              <w:t xml:space="preserve">), Malinowski made contributions to anthropology through his text </w:t>
            </w:r>
            <w:r w:rsidRPr="00C332EC">
              <w:rPr>
                <w:i/>
                <w:color w:val="000000"/>
              </w:rPr>
              <w:t>Argonauts of the Western Pacific</w:t>
            </w:r>
            <w:r w:rsidRPr="00C332EC">
              <w:rPr>
                <w:color w:val="000000"/>
              </w:rPr>
              <w:t xml:space="preserve"> (1922) and to linguistic anthropology in </w:t>
            </w:r>
            <w:r w:rsidRPr="00C332EC">
              <w:rPr>
                <w:i/>
                <w:color w:val="000000"/>
              </w:rPr>
              <w:t>Coral Gardens and their Magic</w:t>
            </w:r>
            <w:r w:rsidRPr="00C332EC">
              <w:rPr>
                <w:color w:val="000000"/>
              </w:rPr>
              <w:t xml:space="preserve"> (1935). Travelling to the Trobriand Islands, Malinowski documented the life, customs and traditions of Melanesian people using systematic observation in ethnographic field notes and photography. This rich description of the Trobrianders set the standard for scientific ethnographic practice in his book </w:t>
            </w:r>
            <w:r w:rsidRPr="00C332EC">
              <w:rPr>
                <w:i/>
                <w:color w:val="000000"/>
              </w:rPr>
              <w:t>A Scientific Theory of Culture</w:t>
            </w:r>
            <w:r w:rsidRPr="00C332EC">
              <w:rPr>
                <w:color w:val="000000"/>
              </w:rPr>
              <w:t xml:space="preserve"> (1944).</w:t>
            </w:r>
            <w:bookmarkStart w:id="0" w:name="_GoBack"/>
            <w:bookmarkEnd w:id="0"/>
          </w:p>
        </w:tc>
      </w:tr>
      <w:tr w:rsidR="003F0D73" w:rsidRPr="00837FE7" w:rsidTr="00837FE7">
        <w:tc>
          <w:tcPr>
            <w:tcW w:w="9016" w:type="dxa"/>
            <w:shd w:val="clear" w:color="auto" w:fill="auto"/>
            <w:tcMar>
              <w:top w:w="113" w:type="dxa"/>
              <w:bottom w:w="113" w:type="dxa"/>
            </w:tcMar>
          </w:tcPr>
          <w:p w:rsidR="003F0D73" w:rsidRDefault="00C332EC" w:rsidP="00837FE7">
            <w:pPr>
              <w:spacing w:after="0" w:line="240" w:lineRule="auto"/>
              <w:rPr>
                <w:color w:val="000000"/>
              </w:rPr>
            </w:pPr>
            <w:r w:rsidRPr="00C332EC">
              <w:rPr>
                <w:color w:val="000000"/>
              </w:rPr>
              <w:t xml:space="preserve">Born Bronisław Kasper Malinowski to a family in the Polish nobility (the </w:t>
            </w:r>
            <w:r w:rsidRPr="00C332EC">
              <w:rPr>
                <w:i/>
                <w:color w:val="000000"/>
              </w:rPr>
              <w:t>szlachta</w:t>
            </w:r>
            <w:r w:rsidRPr="00C332EC">
              <w:rPr>
                <w:color w:val="000000"/>
              </w:rPr>
              <w:t xml:space="preserve">), Malinowski made contributions to anthropology through his text </w:t>
            </w:r>
            <w:r w:rsidRPr="00C332EC">
              <w:rPr>
                <w:i/>
                <w:color w:val="000000"/>
              </w:rPr>
              <w:t>Argonauts of the Western Pacific</w:t>
            </w:r>
            <w:r w:rsidRPr="00C332EC">
              <w:rPr>
                <w:color w:val="000000"/>
              </w:rPr>
              <w:t xml:space="preserve"> (1922) and to linguistic anthropology in </w:t>
            </w:r>
            <w:r w:rsidRPr="00C332EC">
              <w:rPr>
                <w:i/>
                <w:color w:val="000000"/>
              </w:rPr>
              <w:t>Coral Gardens and their Magic</w:t>
            </w:r>
            <w:r w:rsidRPr="00C332EC">
              <w:rPr>
                <w:color w:val="000000"/>
              </w:rPr>
              <w:t xml:space="preserve"> (1935). Travelling to the Trobriand Islands, Malinowski documented the life, customs and traditions of Melanesian people using systematic observation in ethnographic field notes and photography. This rich description of the Trobrianders set the standard for scientific ethnographic practice in his book </w:t>
            </w:r>
            <w:r w:rsidRPr="00C332EC">
              <w:rPr>
                <w:i/>
                <w:color w:val="000000"/>
              </w:rPr>
              <w:t>A Scientific Theory of Culture</w:t>
            </w:r>
            <w:r w:rsidRPr="00C332EC">
              <w:rPr>
                <w:color w:val="000000"/>
              </w:rPr>
              <w:t xml:space="preserve"> (1944). Malinowski was a participant within modernist conversations about language, sexuality and culture in monographs that would engage the ideas of Joseph Conrad and Sigmund Freud, such as </w:t>
            </w:r>
            <w:r w:rsidRPr="00C332EC">
              <w:rPr>
                <w:i/>
                <w:color w:val="000000"/>
              </w:rPr>
              <w:t xml:space="preserve">Crime and Custom in Savage Society </w:t>
            </w:r>
            <w:r w:rsidRPr="00C332EC">
              <w:rPr>
                <w:color w:val="000000"/>
              </w:rPr>
              <w:t xml:space="preserve">(1926), </w:t>
            </w:r>
            <w:r w:rsidRPr="00C332EC">
              <w:rPr>
                <w:i/>
                <w:color w:val="000000"/>
              </w:rPr>
              <w:t>Freedom and Civilization</w:t>
            </w:r>
            <w:r w:rsidRPr="00C332EC">
              <w:rPr>
                <w:color w:val="000000"/>
              </w:rPr>
              <w:t xml:space="preserve"> (1947)</w:t>
            </w:r>
            <w:r w:rsidRPr="00C332EC">
              <w:rPr>
                <w:i/>
                <w:color w:val="000000"/>
              </w:rPr>
              <w:t xml:space="preserve"> </w:t>
            </w:r>
            <w:r w:rsidRPr="00C332EC">
              <w:rPr>
                <w:color w:val="000000"/>
              </w:rPr>
              <w:t>and</w:t>
            </w:r>
            <w:r w:rsidRPr="00C332EC">
              <w:rPr>
                <w:i/>
                <w:color w:val="000000"/>
              </w:rPr>
              <w:t xml:space="preserve"> Sex</w:t>
            </w:r>
            <w:r w:rsidRPr="00C332EC">
              <w:rPr>
                <w:color w:val="000000"/>
              </w:rPr>
              <w:t xml:space="preserve">, </w:t>
            </w:r>
            <w:r w:rsidRPr="00C332EC">
              <w:rPr>
                <w:i/>
                <w:color w:val="000000"/>
              </w:rPr>
              <w:t xml:space="preserve">Culture and Myth </w:t>
            </w:r>
            <w:r w:rsidRPr="00C332EC">
              <w:rPr>
                <w:color w:val="000000"/>
              </w:rPr>
              <w:t xml:space="preserve">(1962). C. K. Ogden and I. A. Richards would publish a précis of his linguistic anthropology in their statement on language, </w:t>
            </w:r>
            <w:r w:rsidRPr="00C332EC">
              <w:rPr>
                <w:i/>
                <w:color w:val="000000"/>
              </w:rPr>
              <w:t>The Meaning of Meaning</w:t>
            </w:r>
            <w:r w:rsidRPr="00C332EC">
              <w:rPr>
                <w:color w:val="000000"/>
              </w:rPr>
              <w:t xml:space="preserve"> (1923). The publication of Malinowski’s diaries marked the end of the modern period for anthropology. Clifford Geertz and others would use the tension between the alleged objectivity of the ethnographic text and the personal demons Malinowski grappled with in the diaries to illustrate that the claim to objectivity in ethnographic writings is illusory. Having eroded claims to objectivity, Geertz ushered in postmodern discussions of the making of knowledge in anthropology as a discipline.</w:t>
            </w:r>
          </w:p>
          <w:p w:rsidR="00C332EC" w:rsidRDefault="00C332EC" w:rsidP="00837FE7">
            <w:pPr>
              <w:spacing w:after="0" w:line="240" w:lineRule="auto"/>
              <w:rPr>
                <w:color w:val="000000"/>
              </w:rPr>
            </w:pPr>
          </w:p>
          <w:p w:rsidR="00C332EC" w:rsidRPr="00C332EC" w:rsidRDefault="00C332EC" w:rsidP="00C332EC">
            <w:pPr>
              <w:pStyle w:val="Heading1"/>
              <w:spacing w:after="0"/>
              <w:rPr>
                <w:lang w:val="en-US"/>
              </w:rPr>
            </w:pPr>
            <w:r>
              <w:rPr>
                <w:lang w:val="en-US"/>
              </w:rPr>
              <w:t>List of W</w:t>
            </w:r>
            <w:r w:rsidRPr="00C332EC">
              <w:rPr>
                <w:lang w:val="en-US"/>
              </w:rPr>
              <w:t>orks</w:t>
            </w:r>
          </w:p>
          <w:p w:rsidR="00C332EC" w:rsidRPr="00C332EC" w:rsidRDefault="00C332EC" w:rsidP="00C332EC">
            <w:pPr>
              <w:spacing w:after="0" w:line="240" w:lineRule="auto"/>
              <w:rPr>
                <w:color w:val="000000"/>
              </w:rPr>
            </w:pPr>
            <w:r w:rsidRPr="00C332EC">
              <w:rPr>
                <w:color w:val="000000"/>
              </w:rPr>
              <w:t xml:space="preserve">(1922) </w:t>
            </w:r>
            <w:r w:rsidRPr="00C332EC">
              <w:rPr>
                <w:i/>
                <w:color w:val="000000"/>
              </w:rPr>
              <w:t xml:space="preserve">Argonauts of the Western Pacific: An Account of Native Enterprise and Adventure in the </w:t>
            </w:r>
            <w:r w:rsidR="005F2084" w:rsidRPr="00C332EC">
              <w:rPr>
                <w:i/>
                <w:color w:val="000000"/>
              </w:rPr>
              <w:t>Archipelagos</w:t>
            </w:r>
            <w:r w:rsidRPr="00C332EC">
              <w:rPr>
                <w:i/>
                <w:color w:val="000000"/>
              </w:rPr>
              <w:t xml:space="preserve"> of Melanesian New Guinea</w:t>
            </w:r>
            <w:r w:rsidRPr="00C332EC">
              <w:rPr>
                <w:color w:val="000000"/>
              </w:rPr>
              <w:t>, London: G. Routledge &amp; Sons; New York, E. P. Dutton &amp; Co.</w:t>
            </w:r>
          </w:p>
          <w:p w:rsidR="00C332EC" w:rsidRPr="00C332EC" w:rsidRDefault="00C332EC" w:rsidP="00C332EC">
            <w:pPr>
              <w:spacing w:after="0" w:line="240" w:lineRule="auto"/>
              <w:rPr>
                <w:color w:val="000000"/>
              </w:rPr>
            </w:pPr>
            <w:r w:rsidRPr="00C332EC">
              <w:rPr>
                <w:color w:val="000000"/>
              </w:rPr>
              <w:t xml:space="preserve">(1926) </w:t>
            </w:r>
            <w:r w:rsidRPr="00C332EC">
              <w:rPr>
                <w:i/>
                <w:color w:val="000000"/>
              </w:rPr>
              <w:t>Crime and Custom in Savage Society</w:t>
            </w:r>
            <w:r w:rsidRPr="00C332EC">
              <w:rPr>
                <w:color w:val="000000"/>
              </w:rPr>
              <w:t>, London: Kegan Paul, Trench, Trubner &amp; Co.</w:t>
            </w:r>
          </w:p>
          <w:p w:rsidR="00C332EC" w:rsidRPr="00C332EC" w:rsidRDefault="00C332EC" w:rsidP="00C332EC">
            <w:pPr>
              <w:spacing w:after="0" w:line="240" w:lineRule="auto"/>
              <w:rPr>
                <w:color w:val="000000"/>
              </w:rPr>
            </w:pPr>
            <w:r w:rsidRPr="00C332EC">
              <w:rPr>
                <w:color w:val="000000"/>
              </w:rPr>
              <w:t xml:space="preserve">(1935) </w:t>
            </w:r>
            <w:r w:rsidRPr="00C332EC">
              <w:rPr>
                <w:i/>
                <w:color w:val="000000"/>
              </w:rPr>
              <w:t>Coral Gardens and their Magic</w:t>
            </w:r>
            <w:r w:rsidRPr="00C332EC">
              <w:rPr>
                <w:color w:val="000000"/>
              </w:rPr>
              <w:t>, London:</w:t>
            </w:r>
            <w:r w:rsidRPr="00C332EC">
              <w:rPr>
                <w:color w:val="000000"/>
                <w:lang w:val="en-US"/>
              </w:rPr>
              <w:t xml:space="preserve"> George Allen &amp; Unwin,</w:t>
            </w:r>
            <w:r w:rsidRPr="00C332EC">
              <w:rPr>
                <w:color w:val="000000"/>
              </w:rPr>
              <w:t xml:space="preserve"> 2 vols.</w:t>
            </w:r>
          </w:p>
          <w:p w:rsidR="00C332EC" w:rsidRPr="00C332EC" w:rsidRDefault="00C332EC" w:rsidP="00C332EC">
            <w:pPr>
              <w:spacing w:after="0" w:line="240" w:lineRule="auto"/>
              <w:rPr>
                <w:color w:val="000000"/>
              </w:rPr>
            </w:pPr>
            <w:r w:rsidRPr="00C332EC">
              <w:rPr>
                <w:color w:val="000000"/>
              </w:rPr>
              <w:t>(1944</w:t>
            </w:r>
            <w:r>
              <w:rPr>
                <w:color w:val="000000"/>
              </w:rPr>
              <w:t xml:space="preserve">) </w:t>
            </w:r>
            <w:r w:rsidRPr="00C332EC">
              <w:rPr>
                <w:i/>
                <w:color w:val="000000"/>
              </w:rPr>
              <w:t>Freedom and Civilization</w:t>
            </w:r>
            <w:r w:rsidRPr="00C332EC">
              <w:rPr>
                <w:color w:val="000000"/>
              </w:rPr>
              <w:t>, New York: Roy Publishers.</w:t>
            </w:r>
          </w:p>
          <w:p w:rsidR="00C332EC" w:rsidRPr="00C332EC" w:rsidRDefault="00C332EC" w:rsidP="00C332EC">
            <w:pPr>
              <w:spacing w:after="0" w:line="240" w:lineRule="auto"/>
              <w:rPr>
                <w:color w:val="000000"/>
              </w:rPr>
            </w:pPr>
            <w:r w:rsidRPr="00C332EC">
              <w:rPr>
                <w:color w:val="000000"/>
              </w:rPr>
              <w:t xml:space="preserve">(1944) </w:t>
            </w:r>
            <w:r w:rsidRPr="00C332EC">
              <w:rPr>
                <w:i/>
                <w:color w:val="000000"/>
              </w:rPr>
              <w:t>A Scientific Theory of Culture</w:t>
            </w:r>
            <w:r w:rsidRPr="00C332EC">
              <w:rPr>
                <w:color w:val="000000"/>
              </w:rPr>
              <w:t>, Chapel Hill: The University of North Carolina Press.</w:t>
            </w:r>
          </w:p>
          <w:p w:rsidR="00C332EC" w:rsidRPr="00C332EC" w:rsidRDefault="00C332EC" w:rsidP="00C332EC">
            <w:pPr>
              <w:spacing w:after="0" w:line="240" w:lineRule="auto"/>
              <w:rPr>
                <w:color w:val="000000"/>
              </w:rPr>
            </w:pPr>
            <w:r>
              <w:rPr>
                <w:color w:val="000000"/>
              </w:rPr>
              <w:t>(</w:t>
            </w:r>
            <w:r w:rsidRPr="00C332EC">
              <w:rPr>
                <w:color w:val="000000"/>
              </w:rPr>
              <w:t xml:space="preserve">1962) </w:t>
            </w:r>
            <w:r w:rsidRPr="00C332EC">
              <w:rPr>
                <w:i/>
                <w:color w:val="000000"/>
              </w:rPr>
              <w:t>Sex, Culture and Myth</w:t>
            </w:r>
            <w:r w:rsidRPr="00C332EC">
              <w:rPr>
                <w:color w:val="000000"/>
              </w:rPr>
              <w:t>, New York: Harcourt, Brace &amp; World.</w:t>
            </w:r>
          </w:p>
          <w:p w:rsidR="00C332EC" w:rsidRPr="00E06B87" w:rsidRDefault="00C332EC" w:rsidP="00C332EC">
            <w:pPr>
              <w:spacing w:after="0" w:line="240" w:lineRule="auto"/>
              <w:rPr>
                <w:color w:val="000000"/>
              </w:rPr>
            </w:pPr>
            <w:r w:rsidRPr="00C332EC">
              <w:rPr>
                <w:color w:val="000000"/>
              </w:rPr>
              <w:t xml:space="preserve">(1967) </w:t>
            </w:r>
            <w:r w:rsidRPr="00C332EC">
              <w:rPr>
                <w:i/>
                <w:color w:val="000000"/>
              </w:rPr>
              <w:t>A Diary in the Strict Sense of the Term</w:t>
            </w:r>
            <w:r w:rsidRPr="00C332EC">
              <w:rPr>
                <w:color w:val="000000"/>
              </w:rPr>
              <w:t>, New York, Harcourt, Brace &amp; World.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304E0C" w:rsidRPr="00304E0C" w:rsidRDefault="00A56B1E" w:rsidP="00304E0C">
            <w:pPr>
              <w:spacing w:after="0" w:line="240" w:lineRule="auto"/>
              <w:rPr>
                <w:color w:val="000000"/>
              </w:rPr>
            </w:pPr>
            <w:sdt>
              <w:sdtPr>
                <w:rPr>
                  <w:color w:val="000000"/>
                </w:rPr>
                <w:id w:val="-345252037"/>
                <w:citation/>
              </w:sdtPr>
              <w:sdtContent>
                <w:r>
                  <w:rPr>
                    <w:color w:val="000000"/>
                  </w:rPr>
                  <w:fldChar w:fldCharType="begin"/>
                </w:r>
                <w:r>
                  <w:rPr>
                    <w:color w:val="000000"/>
                    <w:lang w:val="en-CA"/>
                  </w:rPr>
                  <w:instrText xml:space="preserve"> CITATION Gee88 \l 4105 </w:instrText>
                </w:r>
                <w:r>
                  <w:rPr>
                    <w:color w:val="000000"/>
                  </w:rPr>
                  <w:fldChar w:fldCharType="separate"/>
                </w:r>
                <w:r w:rsidRPr="00A56B1E">
                  <w:rPr>
                    <w:noProof/>
                    <w:color w:val="000000"/>
                    <w:lang w:val="en-CA"/>
                  </w:rPr>
                  <w:t>(Geertz)</w:t>
                </w:r>
                <w:r>
                  <w:rPr>
                    <w:color w:val="000000"/>
                  </w:rPr>
                  <w:fldChar w:fldCharType="end"/>
                </w:r>
              </w:sdtContent>
            </w:sdt>
          </w:p>
          <w:p w:rsidR="00304E0C" w:rsidRPr="00304E0C" w:rsidRDefault="00A56B1E" w:rsidP="00304E0C">
            <w:pPr>
              <w:spacing w:after="0" w:line="240" w:lineRule="auto"/>
              <w:rPr>
                <w:color w:val="000000"/>
              </w:rPr>
            </w:pPr>
            <w:sdt>
              <w:sdtPr>
                <w:rPr>
                  <w:color w:val="000000"/>
                </w:rPr>
                <w:id w:val="-1300606154"/>
                <w:citation/>
              </w:sdtPr>
              <w:sdtContent>
                <w:r>
                  <w:rPr>
                    <w:color w:val="000000"/>
                  </w:rPr>
                  <w:fldChar w:fldCharType="begin"/>
                </w:r>
                <w:r>
                  <w:rPr>
                    <w:color w:val="000000"/>
                    <w:lang w:val="en-CA"/>
                  </w:rPr>
                  <w:instrText xml:space="preserve"> CITATION Ogd23 \l 4105 </w:instrText>
                </w:r>
                <w:r>
                  <w:rPr>
                    <w:color w:val="000000"/>
                  </w:rPr>
                  <w:fldChar w:fldCharType="separate"/>
                </w:r>
                <w:r w:rsidRPr="00A56B1E">
                  <w:rPr>
                    <w:noProof/>
                    <w:color w:val="000000"/>
                    <w:lang w:val="en-CA"/>
                  </w:rPr>
                  <w:t>(Ogden and Richards)</w:t>
                </w:r>
                <w:r>
                  <w:rPr>
                    <w:color w:val="000000"/>
                  </w:rPr>
                  <w:fldChar w:fldCharType="end"/>
                </w:r>
              </w:sdtContent>
            </w:sdt>
          </w:p>
          <w:p w:rsidR="00304E0C" w:rsidRPr="00304E0C" w:rsidRDefault="00A56B1E" w:rsidP="00304E0C">
            <w:pPr>
              <w:spacing w:after="0" w:line="240" w:lineRule="auto"/>
              <w:rPr>
                <w:color w:val="000000"/>
                <w:lang w:val="en-US"/>
              </w:rPr>
            </w:pPr>
            <w:sdt>
              <w:sdtPr>
                <w:rPr>
                  <w:color w:val="000000"/>
                  <w:lang w:val="en-US"/>
                </w:rPr>
                <w:id w:val="-612978317"/>
                <w:citation/>
              </w:sdtPr>
              <w:sdtContent>
                <w:r>
                  <w:rPr>
                    <w:color w:val="000000"/>
                    <w:lang w:val="en-US"/>
                  </w:rPr>
                  <w:fldChar w:fldCharType="begin"/>
                </w:r>
                <w:r>
                  <w:rPr>
                    <w:color w:val="000000"/>
                    <w:lang w:val="en-CA"/>
                  </w:rPr>
                  <w:instrText xml:space="preserve"> CITATION You98 \l 4105 </w:instrText>
                </w:r>
                <w:r>
                  <w:rPr>
                    <w:color w:val="000000"/>
                    <w:lang w:val="en-US"/>
                  </w:rPr>
                  <w:fldChar w:fldCharType="separate"/>
                </w:r>
                <w:r w:rsidRPr="00A56B1E">
                  <w:rPr>
                    <w:noProof/>
                    <w:color w:val="000000"/>
                    <w:lang w:val="en-CA"/>
                  </w:rPr>
                  <w:t>(Young)</w:t>
                </w:r>
                <w:r>
                  <w:rPr>
                    <w:color w:val="000000"/>
                    <w:lang w:val="en-US"/>
                  </w:rPr>
                  <w:fldChar w:fldCharType="end"/>
                </w:r>
              </w:sdtContent>
            </w:sdt>
          </w:p>
          <w:p w:rsidR="003235A7" w:rsidRPr="00E06B87" w:rsidRDefault="005F2084" w:rsidP="00304E0C">
            <w:pPr>
              <w:spacing w:after="0" w:line="240" w:lineRule="auto"/>
              <w:rPr>
                <w:color w:val="000000"/>
              </w:rPr>
            </w:pPr>
            <w:sdt>
              <w:sdtPr>
                <w:rPr>
                  <w:color w:val="000000"/>
                </w:rPr>
                <w:id w:val="988053544"/>
                <w:citation/>
              </w:sdtPr>
              <w:sdtContent>
                <w:r>
                  <w:rPr>
                    <w:color w:val="000000"/>
                  </w:rPr>
                  <w:fldChar w:fldCharType="begin"/>
                </w:r>
                <w:r>
                  <w:rPr>
                    <w:color w:val="000000"/>
                    <w:lang w:val="en-CA"/>
                  </w:rPr>
                  <w:instrText xml:space="preserve"> CITATION You04 \l 4105 </w:instrText>
                </w:r>
                <w:r>
                  <w:rPr>
                    <w:color w:val="000000"/>
                  </w:rPr>
                  <w:fldChar w:fldCharType="separate"/>
                </w:r>
                <w:r w:rsidRPr="005F2084">
                  <w:rPr>
                    <w:noProof/>
                    <w:color w:val="000000"/>
                    <w:lang w:val="en-CA"/>
                  </w:rPr>
                  <w:t>(Young, Malinowski: Odyssey of an Anthropologist 1884-1920)</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DC2" w:rsidRDefault="00052DC2" w:rsidP="007A0D55">
      <w:pPr>
        <w:spacing w:after="0" w:line="240" w:lineRule="auto"/>
      </w:pPr>
      <w:r>
        <w:separator/>
      </w:r>
    </w:p>
  </w:endnote>
  <w:endnote w:type="continuationSeparator" w:id="0">
    <w:p w:rsidR="00052DC2" w:rsidRDefault="00052D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DC2" w:rsidRDefault="00052DC2" w:rsidP="007A0D55">
      <w:pPr>
        <w:spacing w:after="0" w:line="240" w:lineRule="auto"/>
      </w:pPr>
      <w:r>
        <w:separator/>
      </w:r>
    </w:p>
  </w:footnote>
  <w:footnote w:type="continuationSeparator" w:id="0">
    <w:p w:rsidR="00052DC2" w:rsidRDefault="00052DC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2EC"/>
    <w:rsid w:val="00032559"/>
    <w:rsid w:val="00052040"/>
    <w:rsid w:val="00052DC2"/>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E0C"/>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084"/>
    <w:rsid w:val="005F26D7"/>
    <w:rsid w:val="005F5450"/>
    <w:rsid w:val="006D0412"/>
    <w:rsid w:val="007411B9"/>
    <w:rsid w:val="00757699"/>
    <w:rsid w:val="00780D95"/>
    <w:rsid w:val="00780DC7"/>
    <w:rsid w:val="007A0D55"/>
    <w:rsid w:val="007B3377"/>
    <w:rsid w:val="007E5F44"/>
    <w:rsid w:val="00821DE3"/>
    <w:rsid w:val="00837FE7"/>
    <w:rsid w:val="00846CE1"/>
    <w:rsid w:val="00852B9A"/>
    <w:rsid w:val="008A5B87"/>
    <w:rsid w:val="00922950"/>
    <w:rsid w:val="009A7264"/>
    <w:rsid w:val="009D1606"/>
    <w:rsid w:val="009E18A1"/>
    <w:rsid w:val="009E73D7"/>
    <w:rsid w:val="00A27D2C"/>
    <w:rsid w:val="00A56B1E"/>
    <w:rsid w:val="00A76FD9"/>
    <w:rsid w:val="00AB436D"/>
    <w:rsid w:val="00AD2F24"/>
    <w:rsid w:val="00AD4844"/>
    <w:rsid w:val="00B219AE"/>
    <w:rsid w:val="00B33145"/>
    <w:rsid w:val="00B574C9"/>
    <w:rsid w:val="00BC39C9"/>
    <w:rsid w:val="00BE5BF7"/>
    <w:rsid w:val="00BF40E1"/>
    <w:rsid w:val="00C27FAB"/>
    <w:rsid w:val="00C332EC"/>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04CEF"/>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02E4"/>
  <w15:chartTrackingRefBased/>
  <w15:docId w15:val="{1667C755-3852-427C-B3CA-86CDD75C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70584">
      <w:bodyDiv w:val="1"/>
      <w:marLeft w:val="0"/>
      <w:marRight w:val="0"/>
      <w:marTop w:val="0"/>
      <w:marBottom w:val="0"/>
      <w:divBdr>
        <w:top w:val="none" w:sz="0" w:space="0" w:color="auto"/>
        <w:left w:val="none" w:sz="0" w:space="0" w:color="auto"/>
        <w:bottom w:val="none" w:sz="0" w:space="0" w:color="auto"/>
        <w:right w:val="none" w:sz="0" w:space="0" w:color="auto"/>
      </w:divBdr>
    </w:div>
    <w:div w:id="1297175454">
      <w:bodyDiv w:val="1"/>
      <w:marLeft w:val="0"/>
      <w:marRight w:val="0"/>
      <w:marTop w:val="0"/>
      <w:marBottom w:val="0"/>
      <w:divBdr>
        <w:top w:val="none" w:sz="0" w:space="0" w:color="auto"/>
        <w:left w:val="none" w:sz="0" w:space="0" w:color="auto"/>
        <w:bottom w:val="none" w:sz="0" w:space="0" w:color="auto"/>
        <w:right w:val="none" w:sz="0" w:space="0" w:color="auto"/>
      </w:divBdr>
    </w:div>
    <w:div w:id="1907841631">
      <w:bodyDiv w:val="1"/>
      <w:marLeft w:val="0"/>
      <w:marRight w:val="0"/>
      <w:marTop w:val="0"/>
      <w:marBottom w:val="0"/>
      <w:divBdr>
        <w:top w:val="none" w:sz="0" w:space="0" w:color="auto"/>
        <w:left w:val="none" w:sz="0" w:space="0" w:color="auto"/>
        <w:bottom w:val="none" w:sz="0" w:space="0" w:color="auto"/>
        <w:right w:val="none" w:sz="0" w:space="0" w:color="auto"/>
      </w:divBdr>
    </w:div>
    <w:div w:id="19533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Gee88</b:Tag>
    <b:SourceType>Book</b:SourceType>
    <b:Guid>{0A68DF84-A028-4917-A270-149295FB509D}</b:Guid>
    <b:Author>
      <b:Author>
        <b:NameList>
          <b:Person>
            <b:Last>Geertz</b:Last>
            <b:First>C.</b:First>
          </b:Person>
        </b:NameList>
      </b:Author>
    </b:Author>
    <b:Title>Works and Lives: The Anthropologist as Author</b:Title>
    <b:Year>1988</b:Year>
    <b:City>Stanford</b:City>
    <b:Publisher>Stanford University Press</b:Publisher>
    <b:RefOrder>1</b:RefOrder>
  </b:Source>
  <b:Source>
    <b:Tag>Ogd23</b:Tag>
    <b:SourceType>Book</b:SourceType>
    <b:Guid>{85CA1DC3-ED22-4F3E-9B8A-4CC8607D9572}</b:Guid>
    <b:Author>
      <b:Author>
        <b:NameList>
          <b:Person>
            <b:Last>Ogden</b:Last>
            <b:First>C.</b:First>
            <b:Middle>K.</b:Middle>
          </b:Person>
          <b:Person>
            <b:Last>Richards</b:Last>
            <b:First>I.</b:First>
            <b:Middle>A.</b:Middle>
          </b:Person>
        </b:NameList>
      </b:Author>
    </b:Author>
    <b:Title>The Meaning of Meaning: A Study of the Influence of Language upon Thought and of the Science of Symbolism</b:Title>
    <b:Year>1923</b:Year>
    <b:City>London</b:City>
    <b:Publisher>Kegan Paul, Trench, Trubner &amp; Co.</b:Publisher>
    <b:RefOrder>2</b:RefOrder>
  </b:Source>
  <b:Source>
    <b:Tag>You98</b:Tag>
    <b:SourceType>Book</b:SourceType>
    <b:Guid>{7A4CEC6F-C9BF-4C26-8D52-13F8E9AF463E}</b:Guid>
    <b:Author>
      <b:Author>
        <b:NameList>
          <b:Person>
            <b:Last>Young</b:Last>
            <b:First>M.</b:First>
            <b:Middle>W.</b:Middle>
          </b:Person>
        </b:NameList>
      </b:Author>
    </b:Author>
    <b:Title>Malinowski’s Kiriwina: Fieldwork Photography 1915-1918</b:Title>
    <b:Year>1998</b:Year>
    <b:City>Chicago</b:City>
    <b:Publisher>University of Chicago Press</b:Publisher>
    <b:RefOrder>3</b:RefOrder>
  </b:Source>
  <b:Source>
    <b:Tag>You04</b:Tag>
    <b:SourceType>Book</b:SourceType>
    <b:Guid>{B6A7CDAD-5666-4BFB-97BF-DDECF13EC65A}</b:Guid>
    <b:Author>
      <b:Author>
        <b:NameList>
          <b:Person>
            <b:Last>Young</b:Last>
            <b:First>M.</b:First>
            <b:Middle>W.</b:Middle>
          </b:Person>
        </b:NameList>
      </b:Author>
    </b:Author>
    <b:Title>Malinowski: Odyssey of an Anthropologist 1884-1920</b:Title>
    <b:Year>2004</b:Year>
    <b:City>New Haven</b:City>
    <b:Publisher>Yale University Press</b:Publisher>
    <b:RefOrder>4</b:RefOrder>
  </b:Source>
</b:Sources>
</file>

<file path=customXml/itemProps1.xml><?xml version="1.0" encoding="utf-8"?>
<ds:datastoreItem xmlns:ds="http://schemas.openxmlformats.org/officeDocument/2006/customXml" ds:itemID="{1E9D94B1-0337-4C99-9A65-3507B701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5</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2016-08-02T20:27:00Z</dcterms:created>
  <dcterms:modified xsi:type="dcterms:W3CDTF">2016-08-02T20:33:00Z</dcterms:modified>
</cp:coreProperties>
</file>