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180DA8" w:rsidRPr="00180DA8" w:rsidTr="00180DA8">
        <w:tc>
          <w:tcPr>
            <w:tcW w:w="491" w:type="dxa"/>
            <w:vMerge w:val="restart"/>
            <w:shd w:val="clear" w:color="auto" w:fill="A6A6A6"/>
            <w:textDirection w:val="btLr"/>
          </w:tcPr>
          <w:p w:rsidR="00B574C9" w:rsidRPr="00180DA8" w:rsidRDefault="00B574C9" w:rsidP="00180DA8">
            <w:pPr>
              <w:spacing w:after="0" w:line="240" w:lineRule="auto"/>
              <w:jc w:val="center"/>
              <w:rPr>
                <w:b/>
                <w:color w:val="FFFFFF"/>
              </w:rPr>
            </w:pPr>
            <w:r w:rsidRPr="00180DA8">
              <w:rPr>
                <w:b/>
                <w:color w:val="FFFFFF"/>
              </w:rPr>
              <w:t>About you</w:t>
            </w:r>
          </w:p>
        </w:tc>
        <w:tc>
          <w:tcPr>
            <w:tcW w:w="1259" w:type="dxa"/>
            <w:shd w:val="clear" w:color="auto" w:fill="auto"/>
          </w:tcPr>
          <w:p w:rsidR="00B574C9" w:rsidRPr="00180DA8" w:rsidRDefault="00B574C9" w:rsidP="00180DA8">
            <w:pPr>
              <w:spacing w:after="0" w:line="240" w:lineRule="auto"/>
              <w:jc w:val="center"/>
              <w:rPr>
                <w:b/>
                <w:color w:val="FFFFFF"/>
              </w:rPr>
            </w:pPr>
            <w:r w:rsidRPr="00180DA8">
              <w:rPr>
                <w:rStyle w:val="PlaceholderText"/>
                <w:b/>
                <w:color w:val="FFFFFF"/>
              </w:rPr>
              <w:t>[Salutation]</w:t>
            </w:r>
          </w:p>
        </w:tc>
        <w:tc>
          <w:tcPr>
            <w:tcW w:w="2073" w:type="dxa"/>
            <w:shd w:val="clear" w:color="auto" w:fill="auto"/>
          </w:tcPr>
          <w:p w:rsidR="00B574C9" w:rsidRPr="00180DA8" w:rsidRDefault="00180DA8" w:rsidP="00180DA8">
            <w:pPr>
              <w:spacing w:after="0" w:line="240" w:lineRule="auto"/>
            </w:pPr>
            <w:r>
              <w:rPr>
                <w:rStyle w:val="PlaceholderText"/>
              </w:rPr>
              <w:t>Daniel</w:t>
            </w:r>
          </w:p>
        </w:tc>
        <w:tc>
          <w:tcPr>
            <w:tcW w:w="2551" w:type="dxa"/>
            <w:shd w:val="clear" w:color="auto" w:fill="auto"/>
          </w:tcPr>
          <w:p w:rsidR="00B574C9" w:rsidRPr="00180DA8" w:rsidRDefault="00B574C9" w:rsidP="00180DA8">
            <w:pPr>
              <w:spacing w:after="0" w:line="240" w:lineRule="auto"/>
            </w:pPr>
            <w:r w:rsidRPr="00180DA8">
              <w:rPr>
                <w:rStyle w:val="PlaceholderText"/>
              </w:rPr>
              <w:t>[Middle name]</w:t>
            </w:r>
          </w:p>
        </w:tc>
        <w:tc>
          <w:tcPr>
            <w:tcW w:w="2642" w:type="dxa"/>
            <w:shd w:val="clear" w:color="auto" w:fill="auto"/>
          </w:tcPr>
          <w:p w:rsidR="00B574C9" w:rsidRPr="00180DA8" w:rsidRDefault="00180DA8" w:rsidP="00180DA8">
            <w:pPr>
              <w:spacing w:after="0" w:line="240" w:lineRule="auto"/>
            </w:pPr>
            <w:r>
              <w:rPr>
                <w:rStyle w:val="PlaceholderText"/>
              </w:rPr>
              <w:t>Steinmetz-Jenkins</w:t>
            </w:r>
          </w:p>
        </w:tc>
      </w:tr>
      <w:tr w:rsidR="00180DA8" w:rsidRPr="00180DA8" w:rsidTr="00180DA8">
        <w:trPr>
          <w:trHeight w:val="986"/>
        </w:trPr>
        <w:tc>
          <w:tcPr>
            <w:tcW w:w="491" w:type="dxa"/>
            <w:vMerge/>
            <w:shd w:val="clear" w:color="auto" w:fill="A6A6A6"/>
          </w:tcPr>
          <w:p w:rsidR="00B574C9" w:rsidRPr="00180DA8" w:rsidRDefault="00B574C9" w:rsidP="00180DA8">
            <w:pPr>
              <w:spacing w:after="0" w:line="240" w:lineRule="auto"/>
              <w:jc w:val="center"/>
              <w:rPr>
                <w:b/>
                <w:color w:val="FFFFFF"/>
              </w:rPr>
            </w:pPr>
          </w:p>
        </w:tc>
        <w:tc>
          <w:tcPr>
            <w:tcW w:w="8525" w:type="dxa"/>
            <w:gridSpan w:val="4"/>
            <w:shd w:val="clear" w:color="auto" w:fill="auto"/>
          </w:tcPr>
          <w:p w:rsidR="00B574C9" w:rsidRPr="00180DA8" w:rsidRDefault="00B574C9" w:rsidP="00180DA8">
            <w:pPr>
              <w:spacing w:after="0" w:line="240" w:lineRule="auto"/>
            </w:pPr>
            <w:r w:rsidRPr="00180DA8">
              <w:rPr>
                <w:rStyle w:val="PlaceholderText"/>
              </w:rPr>
              <w:t>[Enter your biography]</w:t>
            </w:r>
          </w:p>
        </w:tc>
      </w:tr>
      <w:tr w:rsidR="00180DA8" w:rsidRPr="00180DA8" w:rsidTr="00180DA8">
        <w:trPr>
          <w:trHeight w:val="986"/>
        </w:trPr>
        <w:tc>
          <w:tcPr>
            <w:tcW w:w="491" w:type="dxa"/>
            <w:vMerge/>
            <w:shd w:val="clear" w:color="auto" w:fill="A6A6A6"/>
          </w:tcPr>
          <w:p w:rsidR="00B574C9" w:rsidRPr="00180DA8" w:rsidRDefault="00B574C9" w:rsidP="00180DA8">
            <w:pPr>
              <w:spacing w:after="0" w:line="240" w:lineRule="auto"/>
              <w:jc w:val="center"/>
              <w:rPr>
                <w:b/>
                <w:color w:val="FFFFFF"/>
              </w:rPr>
            </w:pPr>
          </w:p>
        </w:tc>
        <w:tc>
          <w:tcPr>
            <w:tcW w:w="8525" w:type="dxa"/>
            <w:gridSpan w:val="4"/>
            <w:shd w:val="clear" w:color="auto" w:fill="auto"/>
          </w:tcPr>
          <w:p w:rsidR="00B574C9" w:rsidRPr="00180DA8" w:rsidRDefault="00180DA8" w:rsidP="00180DA8">
            <w:pPr>
              <w:spacing w:after="0" w:line="240" w:lineRule="auto"/>
            </w:pPr>
            <w:r>
              <w:rPr>
                <w:rStyle w:val="PlaceholderText"/>
              </w:rPr>
              <w:t>Columbia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80DA8" w:rsidRPr="00180DA8" w:rsidTr="00180DA8">
        <w:tc>
          <w:tcPr>
            <w:tcW w:w="9016" w:type="dxa"/>
            <w:shd w:val="clear" w:color="auto" w:fill="A6A6A6"/>
            <w:tcMar>
              <w:top w:w="113" w:type="dxa"/>
              <w:bottom w:w="113" w:type="dxa"/>
            </w:tcMar>
          </w:tcPr>
          <w:p w:rsidR="00244BB0" w:rsidRPr="00180DA8" w:rsidRDefault="00244BB0" w:rsidP="00180DA8">
            <w:pPr>
              <w:spacing w:after="0" w:line="240" w:lineRule="auto"/>
              <w:jc w:val="center"/>
              <w:rPr>
                <w:b/>
                <w:color w:val="FFFFFF"/>
              </w:rPr>
            </w:pPr>
            <w:r w:rsidRPr="00180DA8">
              <w:rPr>
                <w:b/>
                <w:color w:val="FFFFFF"/>
              </w:rPr>
              <w:t>Your article</w:t>
            </w:r>
          </w:p>
        </w:tc>
      </w:tr>
      <w:tr w:rsidR="003F0D73" w:rsidRPr="00180DA8" w:rsidTr="00180DA8">
        <w:tc>
          <w:tcPr>
            <w:tcW w:w="9016" w:type="dxa"/>
            <w:shd w:val="clear" w:color="auto" w:fill="auto"/>
            <w:tcMar>
              <w:top w:w="113" w:type="dxa"/>
              <w:bottom w:w="113" w:type="dxa"/>
            </w:tcMar>
          </w:tcPr>
          <w:p w:rsidR="003F0D73" w:rsidRPr="00180DA8" w:rsidRDefault="00180DA8" w:rsidP="00180DA8">
            <w:pPr>
              <w:spacing w:after="0" w:line="240" w:lineRule="auto"/>
              <w:rPr>
                <w:b/>
              </w:rPr>
            </w:pPr>
            <w:r w:rsidRPr="00180DA8">
              <w:rPr>
                <w:b/>
                <w:color w:val="808080"/>
                <w:lang w:val="en-US"/>
              </w:rPr>
              <w:t>T</w:t>
            </w:r>
            <w:r>
              <w:rPr>
                <w:b/>
                <w:color w:val="808080"/>
                <w:lang w:val="en-US"/>
              </w:rPr>
              <w:t>roeltsch</w:t>
            </w:r>
            <w:r w:rsidRPr="00180DA8">
              <w:rPr>
                <w:b/>
                <w:color w:val="808080"/>
                <w:lang w:val="en-US"/>
              </w:rPr>
              <w:t xml:space="preserve">, Ernst </w:t>
            </w:r>
            <w:r>
              <w:rPr>
                <w:b/>
                <w:color w:val="808080"/>
                <w:lang w:val="en-US"/>
              </w:rPr>
              <w:t>(1865-</w:t>
            </w:r>
            <w:r w:rsidRPr="00180DA8">
              <w:rPr>
                <w:b/>
                <w:color w:val="808080"/>
                <w:lang w:val="en-US"/>
              </w:rPr>
              <w:t>1923</w:t>
            </w:r>
            <w:r>
              <w:rPr>
                <w:b/>
                <w:color w:val="808080"/>
                <w:lang w:val="en-US"/>
              </w:rPr>
              <w:t>)</w:t>
            </w:r>
          </w:p>
        </w:tc>
      </w:tr>
      <w:tr w:rsidR="00464699" w:rsidRPr="00180DA8" w:rsidTr="00180DA8">
        <w:tc>
          <w:tcPr>
            <w:tcW w:w="9016" w:type="dxa"/>
            <w:shd w:val="clear" w:color="auto" w:fill="auto"/>
            <w:tcMar>
              <w:top w:w="113" w:type="dxa"/>
              <w:bottom w:w="113" w:type="dxa"/>
            </w:tcMar>
          </w:tcPr>
          <w:p w:rsidR="00464699" w:rsidRPr="00180DA8" w:rsidRDefault="00464699" w:rsidP="00180DA8">
            <w:pPr>
              <w:spacing w:after="0" w:line="240" w:lineRule="auto"/>
            </w:pPr>
            <w:r w:rsidRPr="00180DA8">
              <w:rPr>
                <w:rStyle w:val="PlaceholderText"/>
                <w:b/>
              </w:rPr>
              <w:t xml:space="preserve">[Enter any </w:t>
            </w:r>
            <w:r w:rsidRPr="00180DA8">
              <w:rPr>
                <w:rStyle w:val="PlaceholderText"/>
                <w:b/>
                <w:i/>
              </w:rPr>
              <w:t>variant forms</w:t>
            </w:r>
            <w:r w:rsidRPr="00180DA8">
              <w:rPr>
                <w:rStyle w:val="PlaceholderText"/>
                <w:b/>
              </w:rPr>
              <w:t xml:space="preserve"> of your headword – OPTIONAL]</w:t>
            </w:r>
          </w:p>
        </w:tc>
      </w:tr>
      <w:tr w:rsidR="00E85A05" w:rsidRPr="00180DA8" w:rsidTr="00180DA8">
        <w:tc>
          <w:tcPr>
            <w:tcW w:w="9016" w:type="dxa"/>
            <w:shd w:val="clear" w:color="auto" w:fill="auto"/>
            <w:tcMar>
              <w:top w:w="113" w:type="dxa"/>
              <w:bottom w:w="113" w:type="dxa"/>
            </w:tcMar>
          </w:tcPr>
          <w:p w:rsidR="00E85A05" w:rsidRPr="00180DA8" w:rsidRDefault="009E36E5" w:rsidP="00180DA8">
            <w:pPr>
              <w:spacing w:after="0" w:line="240" w:lineRule="auto"/>
            </w:pPr>
            <w:r w:rsidRPr="00180DA8">
              <w:rPr>
                <w:lang w:val="en-US"/>
              </w:rPr>
              <w:t xml:space="preserve">Ernst Troeltsch was a liberal German Protestant theologian and philosopher of religion whose work spans the last decades of the German Empire and the early Weimar Republic. He studied theology at the Universities of Erlangen, Berlin and Göttingen before becoming a professor of theology at Heidelberg (1894) followed by an appointment in the philosophy department at the University of Berlin (1915-1923). His most famous work is </w:t>
            </w:r>
            <w:r w:rsidRPr="00180DA8">
              <w:rPr>
                <w:i/>
                <w:iCs/>
                <w:lang w:val="en-US"/>
              </w:rPr>
              <w:t xml:space="preserve">The Social Teachings of the Christian Churches </w:t>
            </w:r>
            <w:r w:rsidRPr="00180DA8">
              <w:rPr>
                <w:iCs/>
                <w:lang w:val="en-US"/>
              </w:rPr>
              <w:t>(</w:t>
            </w:r>
            <w:r w:rsidRPr="00180DA8">
              <w:rPr>
                <w:i/>
                <w:iCs/>
                <w:lang w:val="en-US"/>
              </w:rPr>
              <w:t>Die Soziallehren der christlichen Kirchen und Gruppen</w:t>
            </w:r>
            <w:r w:rsidRPr="00180DA8">
              <w:rPr>
                <w:iCs/>
                <w:lang w:val="en-US"/>
              </w:rPr>
              <w:t>, 1912), which outlines a methodological approach to understanding the basic social and ethical teachings of European Christianity from the first to the eighteenth century.</w:t>
            </w:r>
          </w:p>
        </w:tc>
      </w:tr>
      <w:tr w:rsidR="003F0D73" w:rsidRPr="00180DA8" w:rsidTr="00180DA8">
        <w:tc>
          <w:tcPr>
            <w:tcW w:w="9016" w:type="dxa"/>
            <w:shd w:val="clear" w:color="auto" w:fill="auto"/>
            <w:tcMar>
              <w:top w:w="113" w:type="dxa"/>
              <w:bottom w:w="113" w:type="dxa"/>
            </w:tcMar>
          </w:tcPr>
          <w:p w:rsidR="003F0D73" w:rsidRPr="00180DA8" w:rsidRDefault="00180DA8" w:rsidP="00180DA8">
            <w:r w:rsidRPr="00180DA8">
              <w:rPr>
                <w:lang w:val="en-US"/>
              </w:rPr>
              <w:t xml:space="preserve">Ernst Troeltsch was a liberal German Protestant theologian and philosopher of religion whose work spans the last decades of the German Empire and the early Weimar Republic. He studied theology at the Universities of Erlangen, Berlin and Göttingen before becoming a professor of theology at Heidelberg (1894) followed by an appointment in the philosophy department at the University of Berlin (1915-1923). His most famous work is </w:t>
            </w:r>
            <w:r w:rsidRPr="00180DA8">
              <w:rPr>
                <w:i/>
                <w:iCs/>
                <w:lang w:val="en-US"/>
              </w:rPr>
              <w:t xml:space="preserve">The Social Teachings of the Christian Churches </w:t>
            </w:r>
            <w:r w:rsidRPr="00180DA8">
              <w:rPr>
                <w:iCs/>
                <w:lang w:val="en-US"/>
              </w:rPr>
              <w:t>(</w:t>
            </w:r>
            <w:r w:rsidRPr="00180DA8">
              <w:rPr>
                <w:i/>
                <w:iCs/>
                <w:lang w:val="en-US"/>
              </w:rPr>
              <w:t>Die Soziallehren der christlichen Kirchen und Gruppen</w:t>
            </w:r>
            <w:r w:rsidRPr="00180DA8">
              <w:rPr>
                <w:iCs/>
                <w:lang w:val="en-US"/>
              </w:rPr>
              <w:t xml:space="preserve">, 1912), which outlines a methodological approach to understanding the basic social and ethical teachings of European Christianity from the first to the eighteenth century. Troeltsch divided the social teachings of the Churches into five periods of development: </w:t>
            </w:r>
            <w:r w:rsidRPr="00180DA8">
              <w:rPr>
                <w:lang w:val="en-US"/>
              </w:rPr>
              <w:t xml:space="preserve">the Early Church, the Mediaeval Synthesis, Lutheranism, Calvinism, and sectarianism. </w:t>
            </w:r>
            <w:r w:rsidRPr="00180DA8">
              <w:rPr>
                <w:iCs/>
                <w:lang w:val="en-US"/>
              </w:rPr>
              <w:t xml:space="preserve">Inspired by the work of Max Weber, Troeltsch sought to explains these five groups and their relationship to culture </w:t>
            </w:r>
            <w:r w:rsidRPr="00180DA8">
              <w:rPr>
                <w:lang w:val="en-US"/>
              </w:rPr>
              <w:t xml:space="preserve">through a tripartite heuristic device: </w:t>
            </w:r>
            <w:r w:rsidRPr="00180DA8">
              <w:rPr>
                <w:bCs/>
                <w:lang w:val="en-US"/>
              </w:rPr>
              <w:t xml:space="preserve">church, sect, and mysticism. The </w:t>
            </w:r>
            <w:r w:rsidR="009E36E5">
              <w:rPr>
                <w:bCs/>
                <w:lang w:val="en-US"/>
              </w:rPr>
              <w:t>‘</w:t>
            </w:r>
            <w:r w:rsidRPr="00180DA8">
              <w:rPr>
                <w:bCs/>
                <w:lang w:val="en-US"/>
              </w:rPr>
              <w:t>church</w:t>
            </w:r>
            <w:r w:rsidR="009E36E5">
              <w:rPr>
                <w:bCs/>
                <w:lang w:val="en-US"/>
              </w:rPr>
              <w:t>’</w:t>
            </w:r>
            <w:r w:rsidRPr="00180DA8">
              <w:rPr>
                <w:bCs/>
                <w:lang w:val="en-US"/>
              </w:rPr>
              <w:t xml:space="preserve"> adapts or reconciles itself to worldly institutions. The </w:t>
            </w:r>
            <w:r w:rsidR="009E36E5">
              <w:rPr>
                <w:bCs/>
                <w:lang w:val="en-US"/>
              </w:rPr>
              <w:t>‘</w:t>
            </w:r>
            <w:r w:rsidRPr="00180DA8">
              <w:rPr>
                <w:bCs/>
                <w:lang w:val="en-US"/>
              </w:rPr>
              <w:t>sect</w:t>
            </w:r>
            <w:r w:rsidR="009E36E5">
              <w:rPr>
                <w:bCs/>
                <w:lang w:val="en-US"/>
              </w:rPr>
              <w:t>’</w:t>
            </w:r>
            <w:r w:rsidRPr="00180DA8">
              <w:rPr>
                <w:bCs/>
                <w:lang w:val="en-US"/>
              </w:rPr>
              <w:t xml:space="preserve"> makes a strict bifurcation between Christian community and the world. </w:t>
            </w:r>
            <w:r w:rsidR="009E36E5">
              <w:rPr>
                <w:bCs/>
                <w:lang w:val="en-US"/>
              </w:rPr>
              <w:t>‘</w:t>
            </w:r>
            <w:r w:rsidRPr="00180DA8">
              <w:rPr>
                <w:bCs/>
                <w:lang w:val="en-US"/>
              </w:rPr>
              <w:t>Mysticism</w:t>
            </w:r>
            <w:r w:rsidR="009E36E5">
              <w:rPr>
                <w:bCs/>
                <w:lang w:val="en-US"/>
              </w:rPr>
              <w:t>’</w:t>
            </w:r>
            <w:r w:rsidRPr="00180DA8">
              <w:rPr>
                <w:bCs/>
                <w:lang w:val="en-US"/>
              </w:rPr>
              <w:t xml:space="preserve"> entails the individualization or privatization of Christian spirituality. </w:t>
            </w:r>
            <w:r w:rsidRPr="00180DA8">
              <w:rPr>
                <w:lang w:val="en-US"/>
              </w:rPr>
              <w:t>These typologies have become classical concepts in the sociological study of religion.</w:t>
            </w:r>
          </w:p>
        </w:tc>
      </w:tr>
      <w:tr w:rsidR="003235A7" w:rsidRPr="00180DA8" w:rsidTr="00180DA8">
        <w:tc>
          <w:tcPr>
            <w:tcW w:w="9016" w:type="dxa"/>
            <w:shd w:val="clear" w:color="auto" w:fill="auto"/>
          </w:tcPr>
          <w:p w:rsidR="003235A7" w:rsidRDefault="003235A7" w:rsidP="00180DA8">
            <w:pPr>
              <w:spacing w:after="0" w:line="240" w:lineRule="auto"/>
            </w:pPr>
            <w:r w:rsidRPr="00180DA8">
              <w:rPr>
                <w:u w:val="single"/>
              </w:rPr>
              <w:t>Further reading</w:t>
            </w:r>
            <w:r w:rsidRPr="00180DA8">
              <w:t>:</w:t>
            </w:r>
          </w:p>
          <w:p w:rsidR="003235A7" w:rsidRPr="00180DA8" w:rsidRDefault="002172D1" w:rsidP="00180DA8">
            <w:pPr>
              <w:spacing w:after="0" w:line="240" w:lineRule="auto"/>
            </w:pPr>
            <w:sdt>
              <w:sdtPr>
                <w:id w:val="-1849091096"/>
                <w:citation/>
              </w:sdtPr>
              <w:sdtContent>
                <w:r>
                  <w:fldChar w:fldCharType="begin"/>
                </w:r>
                <w:r>
                  <w:rPr>
                    <w:noProof/>
                    <w:lang w:val="en-CA"/>
                  </w:rPr>
                  <w:instrText xml:space="preserve"> CITATION Han92 \l 4105 </w:instrText>
                </w:r>
                <w:r>
                  <w:fldChar w:fldCharType="separate"/>
                </w:r>
                <w:r w:rsidRPr="002172D1">
                  <w:rPr>
                    <w:noProof/>
                    <w:lang w:val="en-CA"/>
                  </w:rPr>
                  <w:t>(Drescher)</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5B4" w:rsidRDefault="00B505B4" w:rsidP="007A0D55">
      <w:pPr>
        <w:spacing w:after="0" w:line="240" w:lineRule="auto"/>
      </w:pPr>
      <w:r>
        <w:separator/>
      </w:r>
    </w:p>
  </w:endnote>
  <w:endnote w:type="continuationSeparator" w:id="0">
    <w:p w:rsidR="00B505B4" w:rsidRDefault="00B505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5B4" w:rsidRDefault="00B505B4" w:rsidP="007A0D55">
      <w:pPr>
        <w:spacing w:after="0" w:line="240" w:lineRule="auto"/>
      </w:pPr>
      <w:r>
        <w:separator/>
      </w:r>
    </w:p>
  </w:footnote>
  <w:footnote w:type="continuationSeparator" w:id="0">
    <w:p w:rsidR="00B505B4" w:rsidRDefault="00B505B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80DA8">
      <w:rPr>
        <w:b/>
        <w:color w:val="7F7F7F"/>
      </w:rPr>
      <w:t>Taylor &amp; Francis</w:t>
    </w:r>
    <w:r w:rsidRPr="00180DA8">
      <w:rPr>
        <w:color w:val="7F7F7F"/>
      </w:rPr>
      <w:t xml:space="preserve"> – </w:t>
    </w:r>
    <w:r w:rsidRPr="00180DA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A8"/>
    <w:rsid w:val="00032559"/>
    <w:rsid w:val="00052040"/>
    <w:rsid w:val="000B25AE"/>
    <w:rsid w:val="000B55AB"/>
    <w:rsid w:val="000B5BC3"/>
    <w:rsid w:val="000D24DC"/>
    <w:rsid w:val="00101B2E"/>
    <w:rsid w:val="00116FA0"/>
    <w:rsid w:val="0015114C"/>
    <w:rsid w:val="00180DA8"/>
    <w:rsid w:val="001A21F3"/>
    <w:rsid w:val="001A2537"/>
    <w:rsid w:val="001A6A06"/>
    <w:rsid w:val="00210C03"/>
    <w:rsid w:val="002162E2"/>
    <w:rsid w:val="002172D1"/>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640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01C2"/>
    <w:rsid w:val="009D1606"/>
    <w:rsid w:val="009E18A1"/>
    <w:rsid w:val="009E36E5"/>
    <w:rsid w:val="009E73D7"/>
    <w:rsid w:val="00A27D2C"/>
    <w:rsid w:val="00A76FD9"/>
    <w:rsid w:val="00AB436D"/>
    <w:rsid w:val="00AD2F24"/>
    <w:rsid w:val="00AD4844"/>
    <w:rsid w:val="00B219AE"/>
    <w:rsid w:val="00B33145"/>
    <w:rsid w:val="00B505B4"/>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A4F49-0105-4601-BDC9-ECCC849F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3031">
      <w:bodyDiv w:val="1"/>
      <w:marLeft w:val="0"/>
      <w:marRight w:val="0"/>
      <w:marTop w:val="0"/>
      <w:marBottom w:val="0"/>
      <w:divBdr>
        <w:top w:val="none" w:sz="0" w:space="0" w:color="auto"/>
        <w:left w:val="none" w:sz="0" w:space="0" w:color="auto"/>
        <w:bottom w:val="none" w:sz="0" w:space="0" w:color="auto"/>
        <w:right w:val="none" w:sz="0" w:space="0" w:color="auto"/>
      </w:divBdr>
    </w:div>
    <w:div w:id="17284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Han92</b:Tag>
    <b:SourceType>Book</b:SourceType>
    <b:Guid>{4A78964B-C47F-4BD2-9913-22095B0528E3}</b:Guid>
    <b:Author>
      <b:Author>
        <b:NameList>
          <b:Person>
            <b:Last>Drescher</b:Last>
            <b:First>Hans-Georg</b:First>
          </b:Person>
        </b:NameList>
      </b:Author>
    </b:Author>
    <b:Title>Ernst Troeltsch: His Life and Work</b:Title>
    <b:Year>1992</b:Year>
    <b:City>London</b:City>
    <b:Publisher>SCM Press</b:Publisher>
    <b:RefOrder>1</b:RefOrder>
  </b:Source>
</b:Sources>
</file>

<file path=customXml/itemProps1.xml><?xml version="1.0" encoding="utf-8"?>
<ds:datastoreItem xmlns:ds="http://schemas.openxmlformats.org/officeDocument/2006/customXml" ds:itemID="{11002254-80B4-45AE-8C35-99EB0756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2016-06-25T23:56:00Z</dcterms:created>
  <dcterms:modified xsi:type="dcterms:W3CDTF">2016-07-15T21:10:00Z</dcterms:modified>
</cp:coreProperties>
</file>