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C7513" w:rsidP="006C7513">
            <w:pPr>
              <w:spacing w:after="0" w:line="240" w:lineRule="auto"/>
            </w:pPr>
            <w:r>
              <w:rPr>
                <w:rStyle w:val="PlaceholderText"/>
              </w:rPr>
              <w:t>Cécile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C7513" w:rsidP="00837FE7">
            <w:pPr>
              <w:spacing w:after="0" w:line="240" w:lineRule="auto"/>
            </w:pPr>
            <w:r w:rsidRPr="006C7513">
              <w:rPr>
                <w:rStyle w:val="PlaceholderText"/>
              </w:rPr>
              <w:t>Guédon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6C7513" w:rsidRDefault="006C7513" w:rsidP="00837FE7">
            <w:pPr>
              <w:spacing w:after="0" w:line="240" w:lineRule="auto"/>
              <w:rPr>
                <w:color w:val="808080"/>
              </w:rPr>
            </w:pPr>
            <w:r w:rsidRPr="006C7513">
              <w:rPr>
                <w:color w:val="808080"/>
              </w:rPr>
              <w:t>Birkbeck College, London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F2D1D" w:rsidP="00837FE7">
            <w:pPr>
              <w:spacing w:after="0" w:line="240" w:lineRule="auto"/>
              <w:rPr>
                <w:b/>
                <w:color w:val="000000"/>
              </w:rPr>
            </w:pPr>
            <w:r w:rsidRPr="00AF2D1D">
              <w:rPr>
                <w:b/>
                <w:color w:val="000000"/>
              </w:rPr>
              <w:t>Mauss, Marcel (1872-1950)</w:t>
            </w:r>
          </w:p>
        </w:tc>
      </w:tr>
      <w:tr w:rsidR="00464699" w:rsidRPr="00837FE7" w:rsidTr="00837FE7">
        <w:tc>
          <w:tcPr>
            <w:tcW w:w="9016" w:type="dxa"/>
            <w:shd w:val="clear" w:color="auto" w:fill="auto"/>
            <w:tcMar>
              <w:top w:w="113" w:type="dxa"/>
              <w:bottom w:w="113" w:type="dxa"/>
            </w:tcMar>
          </w:tcPr>
          <w:p w:rsidR="00464699" w:rsidRPr="00E06B87" w:rsidRDefault="00AF2D1D" w:rsidP="00837FE7">
            <w:pPr>
              <w:spacing w:after="0" w:line="240" w:lineRule="auto"/>
              <w:rPr>
                <w:color w:val="000000"/>
              </w:rPr>
            </w:pPr>
            <w:r>
              <w:rPr>
                <w:b/>
                <w:color w:val="000000"/>
              </w:rPr>
              <w:t>Mauss, Marcel Israël</w:t>
            </w:r>
          </w:p>
        </w:tc>
      </w:tr>
      <w:tr w:rsidR="00E85A05" w:rsidRPr="00837FE7" w:rsidTr="00837FE7">
        <w:tc>
          <w:tcPr>
            <w:tcW w:w="9016" w:type="dxa"/>
            <w:shd w:val="clear" w:color="auto" w:fill="auto"/>
            <w:tcMar>
              <w:top w:w="113" w:type="dxa"/>
              <w:bottom w:w="113" w:type="dxa"/>
            </w:tcMar>
          </w:tcPr>
          <w:p w:rsidR="00E85A05" w:rsidRPr="00E06B87" w:rsidRDefault="00EF37A7" w:rsidP="00837FE7">
            <w:pPr>
              <w:spacing w:after="0" w:line="240" w:lineRule="auto"/>
              <w:rPr>
                <w:color w:val="000000"/>
              </w:rPr>
            </w:pPr>
            <w:r w:rsidRPr="00173DE0">
              <w:rPr>
                <w:color w:val="000000"/>
              </w:rPr>
              <w:t xml:space="preserve">Born in </w:t>
            </w:r>
            <w:smartTag w:uri="urn:schemas-microsoft-com:office:smarttags" w:element="place">
              <w:r w:rsidRPr="00173DE0">
                <w:rPr>
                  <w:color w:val="000000"/>
                </w:rPr>
                <w:t>Épinal</w:t>
              </w:r>
            </w:smartTag>
            <w:r w:rsidRPr="00173DE0">
              <w:rPr>
                <w:color w:val="000000"/>
              </w:rPr>
              <w:t xml:space="preserve">, France, Marcel Israël Mauss, the nephew and a disciple of Émile Durkheim, was a sociologist whose work greatly influenced the nascent discipline of anthropology. After teaching ‘History of Religion and Uncivilised Peoples’ at the </w:t>
            </w:r>
            <w:r w:rsidRPr="00173DE0">
              <w:rPr>
                <w:i/>
                <w:color w:val="000000"/>
              </w:rPr>
              <w:t>École pratique des hautes études</w:t>
            </w:r>
            <w:r w:rsidRPr="00173DE0">
              <w:rPr>
                <w:color w:val="000000"/>
              </w:rPr>
              <w:t xml:space="preserve"> from 1901 to 1931, he took up the chair of Sociology at the Collège de France. He is widely known for his study of the rites of exchange across cultures (</w:t>
            </w:r>
            <w:r w:rsidRPr="00173DE0">
              <w:rPr>
                <w:i/>
                <w:color w:val="000000"/>
              </w:rPr>
              <w:t>‘</w:t>
            </w:r>
            <w:r w:rsidRPr="00173DE0">
              <w:rPr>
                <w:color w:val="000000"/>
              </w:rPr>
              <w:t>Essai sur the don’ 1923-1924). In Mauss’s theory, the gift is seen as the result of an almost magical operation that goes beyond the sheer materiality of the object presented, engaging the receiver as well as the giver in a form of spiritual transaction.</w:t>
            </w:r>
          </w:p>
        </w:tc>
      </w:tr>
      <w:tr w:rsidR="003F0D73" w:rsidRPr="00837FE7" w:rsidTr="00837FE7">
        <w:tc>
          <w:tcPr>
            <w:tcW w:w="9016" w:type="dxa"/>
            <w:shd w:val="clear" w:color="auto" w:fill="auto"/>
            <w:tcMar>
              <w:top w:w="113" w:type="dxa"/>
              <w:bottom w:w="113" w:type="dxa"/>
            </w:tcMar>
          </w:tcPr>
          <w:p w:rsidR="003F0D73" w:rsidRDefault="00173DE0" w:rsidP="00837FE7">
            <w:pPr>
              <w:spacing w:after="0" w:line="240" w:lineRule="auto"/>
              <w:rPr>
                <w:color w:val="000000"/>
              </w:rPr>
            </w:pPr>
            <w:r w:rsidRPr="00173DE0">
              <w:rPr>
                <w:color w:val="000000"/>
              </w:rPr>
              <w:t xml:space="preserve">Born in </w:t>
            </w:r>
            <w:smartTag w:uri="urn:schemas-microsoft-com:office:smarttags" w:element="place">
              <w:r w:rsidRPr="00173DE0">
                <w:rPr>
                  <w:color w:val="000000"/>
                </w:rPr>
                <w:t>Épinal</w:t>
              </w:r>
            </w:smartTag>
            <w:r w:rsidRPr="00173DE0">
              <w:rPr>
                <w:color w:val="000000"/>
              </w:rPr>
              <w:t xml:space="preserve">, France, Marcel Israël Mauss, the nephew and a disciple of Émile Durkheim, was a sociologist whose work greatly influenced the nascent discipline of anthropology. After teaching ‘History of Religion and Uncivilised Peoples’ at the </w:t>
            </w:r>
            <w:r w:rsidRPr="00173DE0">
              <w:rPr>
                <w:i/>
                <w:color w:val="000000"/>
              </w:rPr>
              <w:t>École pratique des hautes études</w:t>
            </w:r>
            <w:r w:rsidRPr="00173DE0">
              <w:rPr>
                <w:color w:val="000000"/>
              </w:rPr>
              <w:t xml:space="preserve"> from 1901 to 1931, he took up the chair of Sociology at the Collège de France. He is widely known for his study of the rites of exchange across cultures (</w:t>
            </w:r>
            <w:r w:rsidRPr="00173DE0">
              <w:rPr>
                <w:i/>
                <w:color w:val="000000"/>
              </w:rPr>
              <w:t>‘</w:t>
            </w:r>
            <w:r w:rsidRPr="00173DE0">
              <w:rPr>
                <w:color w:val="000000"/>
              </w:rPr>
              <w:t>Essai sur the don’ 1923-1924). In Mauss’s theory, the gift is seen as the result of an almost magical operation that goes beyond the sheer materiality of the object presented, engaging the receiver as well as the giver in a form of spiritual transaction. One focal point of Mauss’s analysis is the ‘Potlatch’ ritual practiced by native North Americans, which he uses to highlight the mechanisms binding giver and receiver in an unbreakable obligation of reciprocity, compelling the receiver to reciprocate on the same scale the giver’s original gesture to avoid losing honour and status. Georges Bataille was straightforwardly inspired by Mauss for the formulation of his own notion of the ‘accursed share’. The Situationists attentively read Mauss to think about ways of circumventing capitalistic modes of exchange. Claude Lévi-Strauss claimed to pursue Mauss’s work when founding the ‘anthropologie structurale’.</w:t>
            </w:r>
          </w:p>
          <w:p w:rsidR="00F470EE" w:rsidRDefault="00F470EE" w:rsidP="00837FE7">
            <w:pPr>
              <w:spacing w:after="0" w:line="240" w:lineRule="auto"/>
              <w:rPr>
                <w:color w:val="000000"/>
              </w:rPr>
            </w:pPr>
          </w:p>
          <w:p w:rsidR="00F470EE" w:rsidRPr="00F470EE" w:rsidRDefault="00F470EE" w:rsidP="00F470EE">
            <w:pPr>
              <w:pStyle w:val="Heading1"/>
              <w:spacing w:after="0"/>
            </w:pPr>
            <w:r>
              <w:t>List of W</w:t>
            </w:r>
            <w:r w:rsidRPr="00F470EE">
              <w:t>orks</w:t>
            </w:r>
          </w:p>
          <w:p w:rsidR="00F470EE" w:rsidRPr="00F470EE" w:rsidRDefault="00F470EE" w:rsidP="00F470EE">
            <w:pPr>
              <w:spacing w:after="0" w:line="240" w:lineRule="auto"/>
              <w:rPr>
                <w:color w:val="000000"/>
                <w:lang w:val="fr-FR"/>
              </w:rPr>
            </w:pPr>
            <w:r>
              <w:rPr>
                <w:color w:val="000000"/>
                <w:lang w:val="fr-FR"/>
              </w:rPr>
              <w:t>with</w:t>
            </w:r>
            <w:r w:rsidRPr="00F470EE">
              <w:rPr>
                <w:color w:val="000000"/>
                <w:lang w:val="fr-FR"/>
              </w:rPr>
              <w:t xml:space="preserve"> Durkheim, É. (1913) ‘</w:t>
            </w:r>
            <w:r w:rsidRPr="00F470EE">
              <w:rPr>
                <w:iCs/>
                <w:color w:val="000000"/>
                <w:lang w:val="fr-FR"/>
              </w:rPr>
              <w:t>Note sur la notion de civilisation</w:t>
            </w:r>
            <w:r w:rsidRPr="00F470EE">
              <w:rPr>
                <w:color w:val="000000"/>
                <w:lang w:val="fr-FR"/>
              </w:rPr>
              <w:t xml:space="preserve">’, </w:t>
            </w:r>
            <w:r w:rsidRPr="00F470EE">
              <w:rPr>
                <w:i/>
                <w:color w:val="000000"/>
                <w:lang w:val="fr-FR"/>
              </w:rPr>
              <w:t>Année sociologique</w:t>
            </w:r>
            <w:r w:rsidRPr="00F470EE">
              <w:rPr>
                <w:color w:val="000000"/>
              </w:rPr>
              <w:t>,</w:t>
            </w:r>
            <w:r w:rsidRPr="00F470EE">
              <w:rPr>
                <w:color w:val="000000"/>
                <w:lang w:val="fr-FR"/>
              </w:rPr>
              <w:t xml:space="preserve"> 12: 46-50. </w:t>
            </w:r>
          </w:p>
          <w:p w:rsidR="00F470EE" w:rsidRPr="00E06B87" w:rsidRDefault="0043522B" w:rsidP="00F470EE">
            <w:pPr>
              <w:spacing w:after="0" w:line="240" w:lineRule="auto"/>
              <w:rPr>
                <w:color w:val="000000"/>
              </w:rPr>
            </w:pPr>
            <w:r>
              <w:rPr>
                <w:color w:val="000000"/>
                <w:lang w:val="fr-FR"/>
              </w:rPr>
              <w:t>with</w:t>
            </w:r>
            <w:r w:rsidRPr="00F470EE">
              <w:rPr>
                <w:color w:val="000000"/>
                <w:lang w:val="fr-FR"/>
              </w:rPr>
              <w:t xml:space="preserve"> Durkheim, É</w:t>
            </w:r>
            <w:r>
              <w:rPr>
                <w:color w:val="000000"/>
                <w:lang w:val="fr-FR"/>
              </w:rPr>
              <w:t>.</w:t>
            </w:r>
            <w:r w:rsidR="00F470EE" w:rsidRPr="00F470EE">
              <w:rPr>
                <w:color w:val="000000"/>
                <w:lang w:val="fr-FR"/>
              </w:rPr>
              <w:t xml:space="preserve"> (1923-1924) ‘Essai sur le don. Forme et raison de l’échange dans les sociétés archaïques’, </w:t>
            </w:r>
            <w:r w:rsidR="00F470EE" w:rsidRPr="00F470EE">
              <w:rPr>
                <w:i/>
                <w:color w:val="000000"/>
                <w:lang w:val="fr-FR"/>
              </w:rPr>
              <w:t>L’Année Sociologique</w:t>
            </w:r>
            <w:r w:rsidR="00F470EE" w:rsidRPr="00F470EE">
              <w:rPr>
                <w:color w:val="000000"/>
                <w:lang w:val="fr-FR"/>
              </w:rPr>
              <w:t xml:space="preserve">, Paris: Alcan, trans. </w:t>
            </w:r>
            <w:r w:rsidR="00F470EE" w:rsidRPr="00F470EE">
              <w:rPr>
                <w:color w:val="000000"/>
              </w:rPr>
              <w:t xml:space="preserve">I. Cunnison as </w:t>
            </w:r>
            <w:r w:rsidR="00F470EE" w:rsidRPr="00F470EE">
              <w:rPr>
                <w:i/>
                <w:color w:val="000000"/>
              </w:rPr>
              <w:t>The Gift: Forms and Functions of Exchange in Archaic Societies</w:t>
            </w:r>
            <w:r w:rsidR="00F470EE" w:rsidRPr="00F470EE">
              <w:rPr>
                <w:color w:val="000000"/>
              </w:rPr>
              <w:t>, London: Cohen &amp; West Ltd, 1969.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08062B" w:rsidRPr="0008062B" w:rsidRDefault="00E5374A" w:rsidP="0008062B">
            <w:pPr>
              <w:spacing w:after="0" w:line="240" w:lineRule="auto"/>
              <w:rPr>
                <w:color w:val="000000"/>
                <w:lang w:val="fr-FR"/>
              </w:rPr>
            </w:pPr>
            <w:sdt>
              <w:sdtPr>
                <w:rPr>
                  <w:color w:val="000000"/>
                  <w:lang w:val="fr-FR"/>
                </w:rPr>
                <w:id w:val="-126242518"/>
                <w:citation/>
              </w:sdtPr>
              <w:sdtContent>
                <w:r>
                  <w:rPr>
                    <w:color w:val="000000"/>
                    <w:lang w:val="fr-FR"/>
                  </w:rPr>
                  <w:fldChar w:fldCharType="begin"/>
                </w:r>
                <w:r>
                  <w:rPr>
                    <w:color w:val="000000"/>
                    <w:lang w:val="en-CA"/>
                  </w:rPr>
                  <w:instrText xml:space="preserve"> CITATION Lév68 \l 4105 </w:instrText>
                </w:r>
                <w:r>
                  <w:rPr>
                    <w:color w:val="000000"/>
                    <w:lang w:val="fr-FR"/>
                  </w:rPr>
                  <w:fldChar w:fldCharType="separate"/>
                </w:r>
                <w:r w:rsidRPr="00E5374A">
                  <w:rPr>
                    <w:noProof/>
                    <w:color w:val="000000"/>
                    <w:lang w:val="en-CA"/>
                  </w:rPr>
                  <w:t>(Lévi-Strauss)</w:t>
                </w:r>
                <w:r>
                  <w:rPr>
                    <w:color w:val="000000"/>
                    <w:lang w:val="fr-FR"/>
                  </w:rPr>
                  <w:fldChar w:fldCharType="end"/>
                </w:r>
              </w:sdtContent>
            </w:sdt>
            <w:bookmarkStart w:id="0" w:name="_GoBack"/>
            <w:bookmarkEnd w:id="0"/>
          </w:p>
          <w:p w:rsidR="0008062B" w:rsidRPr="0008062B" w:rsidRDefault="00182D10" w:rsidP="0008062B">
            <w:pPr>
              <w:spacing w:after="0" w:line="240" w:lineRule="auto"/>
              <w:rPr>
                <w:color w:val="000000"/>
              </w:rPr>
            </w:pPr>
            <w:sdt>
              <w:sdtPr>
                <w:rPr>
                  <w:color w:val="000000"/>
                </w:rPr>
                <w:id w:val="1447581228"/>
                <w:citation/>
              </w:sdtPr>
              <w:sdtContent>
                <w:r>
                  <w:rPr>
                    <w:color w:val="000000"/>
                  </w:rPr>
                  <w:fldChar w:fldCharType="begin"/>
                </w:r>
                <w:r>
                  <w:rPr>
                    <w:color w:val="000000"/>
                    <w:lang w:val="en-CA"/>
                  </w:rPr>
                  <w:instrText xml:space="preserve"> CITATION Jam98 \l 4105 </w:instrText>
                </w:r>
                <w:r>
                  <w:rPr>
                    <w:color w:val="000000"/>
                  </w:rPr>
                  <w:fldChar w:fldCharType="separate"/>
                </w:r>
                <w:r w:rsidRPr="00182D10">
                  <w:rPr>
                    <w:noProof/>
                    <w:color w:val="000000"/>
                    <w:lang w:val="en-CA"/>
                  </w:rPr>
                  <w:t>(James and Allen)</w:t>
                </w:r>
                <w:r>
                  <w:rPr>
                    <w:color w:val="000000"/>
                  </w:rPr>
                  <w:fldChar w:fldCharType="end"/>
                </w:r>
              </w:sdtContent>
            </w:sdt>
          </w:p>
          <w:p w:rsidR="003235A7" w:rsidRPr="00E06B87" w:rsidRDefault="00182D10" w:rsidP="0008062B">
            <w:pPr>
              <w:spacing w:after="0" w:line="240" w:lineRule="auto"/>
              <w:rPr>
                <w:color w:val="000000"/>
              </w:rPr>
            </w:pPr>
            <w:sdt>
              <w:sdtPr>
                <w:rPr>
                  <w:color w:val="000000"/>
                </w:rPr>
                <w:id w:val="-696858139"/>
                <w:citation/>
              </w:sdtPr>
              <w:sdtContent>
                <w:r>
                  <w:rPr>
                    <w:color w:val="000000"/>
                  </w:rPr>
                  <w:fldChar w:fldCharType="begin"/>
                </w:r>
                <w:r>
                  <w:rPr>
                    <w:color w:val="000000"/>
                    <w:lang w:val="en-CA"/>
                  </w:rPr>
                  <w:instrText xml:space="preserve"> CITATION Mur89 \l 4105 </w:instrText>
                </w:r>
                <w:r>
                  <w:rPr>
                    <w:color w:val="000000"/>
                  </w:rPr>
                  <w:fldChar w:fldCharType="separate"/>
                </w:r>
                <w:r w:rsidRPr="00182D10">
                  <w:rPr>
                    <w:noProof/>
                    <w:color w:val="000000"/>
                    <w:lang w:val="en-CA"/>
                  </w:rPr>
                  <w:t>(Murray and Mauss)</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4FE" w:rsidRDefault="009E04FE" w:rsidP="007A0D55">
      <w:pPr>
        <w:spacing w:after="0" w:line="240" w:lineRule="auto"/>
      </w:pPr>
      <w:r>
        <w:separator/>
      </w:r>
    </w:p>
  </w:endnote>
  <w:endnote w:type="continuationSeparator" w:id="0">
    <w:p w:rsidR="009E04FE" w:rsidRDefault="009E04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4FE" w:rsidRDefault="009E04FE" w:rsidP="007A0D55">
      <w:pPr>
        <w:spacing w:after="0" w:line="240" w:lineRule="auto"/>
      </w:pPr>
      <w:r>
        <w:separator/>
      </w:r>
    </w:p>
  </w:footnote>
  <w:footnote w:type="continuationSeparator" w:id="0">
    <w:p w:rsidR="009E04FE" w:rsidRDefault="009E04F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13"/>
    <w:rsid w:val="00032559"/>
    <w:rsid w:val="00052040"/>
    <w:rsid w:val="0008062B"/>
    <w:rsid w:val="00096FA8"/>
    <w:rsid w:val="000B25AE"/>
    <w:rsid w:val="000B55AB"/>
    <w:rsid w:val="000D24DC"/>
    <w:rsid w:val="00101B2E"/>
    <w:rsid w:val="00116FA0"/>
    <w:rsid w:val="0015114C"/>
    <w:rsid w:val="00173DE0"/>
    <w:rsid w:val="00182D1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3522B"/>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C7513"/>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04FE"/>
    <w:rsid w:val="009E18A1"/>
    <w:rsid w:val="009E73D7"/>
    <w:rsid w:val="00A27D2C"/>
    <w:rsid w:val="00A76FD9"/>
    <w:rsid w:val="00AB436D"/>
    <w:rsid w:val="00AD2F24"/>
    <w:rsid w:val="00AD4844"/>
    <w:rsid w:val="00AF2D1D"/>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5374A"/>
    <w:rsid w:val="00E85A05"/>
    <w:rsid w:val="00E95829"/>
    <w:rsid w:val="00EA606C"/>
    <w:rsid w:val="00EB0C8C"/>
    <w:rsid w:val="00EB51FD"/>
    <w:rsid w:val="00EB77DB"/>
    <w:rsid w:val="00ED139F"/>
    <w:rsid w:val="00EF37A7"/>
    <w:rsid w:val="00EF74F7"/>
    <w:rsid w:val="00F36937"/>
    <w:rsid w:val="00F470E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18E26D62"/>
  <w15:chartTrackingRefBased/>
  <w15:docId w15:val="{722CE9AC-9980-4ECA-889E-EAD60A4B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61414">
      <w:bodyDiv w:val="1"/>
      <w:marLeft w:val="0"/>
      <w:marRight w:val="0"/>
      <w:marTop w:val="0"/>
      <w:marBottom w:val="0"/>
      <w:divBdr>
        <w:top w:val="none" w:sz="0" w:space="0" w:color="auto"/>
        <w:left w:val="none" w:sz="0" w:space="0" w:color="auto"/>
        <w:bottom w:val="none" w:sz="0" w:space="0" w:color="auto"/>
        <w:right w:val="none" w:sz="0" w:space="0" w:color="auto"/>
      </w:divBdr>
    </w:div>
    <w:div w:id="1528983145">
      <w:bodyDiv w:val="1"/>
      <w:marLeft w:val="0"/>
      <w:marRight w:val="0"/>
      <w:marTop w:val="0"/>
      <w:marBottom w:val="0"/>
      <w:divBdr>
        <w:top w:val="none" w:sz="0" w:space="0" w:color="auto"/>
        <w:left w:val="none" w:sz="0" w:space="0" w:color="auto"/>
        <w:bottom w:val="none" w:sz="0" w:space="0" w:color="auto"/>
        <w:right w:val="none" w:sz="0" w:space="0" w:color="auto"/>
      </w:divBdr>
    </w:div>
    <w:div w:id="19804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Jam98</b:Tag>
    <b:SourceType>Book</b:SourceType>
    <b:Guid>{76C96E00-6525-435D-A615-E5148E50468A}</b:Guid>
    <b:Title>Marcel Mauss: A Centenary Tribute</b:Title>
    <b:Year>1998</b:Year>
    <b:City>Oxford</b:City>
    <b:Publisher>Berghahn Books</b:Publisher>
    <b:Author>
      <b:Editor>
        <b:NameList>
          <b:Person>
            <b:Last>James</b:Last>
            <b:First>W.</b:First>
          </b:Person>
          <b:Person>
            <b:Last>Allen</b:Last>
            <b:First>N.</b:First>
            <b:Middle>J.</b:Middle>
          </b:Person>
        </b:NameList>
      </b:Editor>
    </b:Author>
    <b:RefOrder>2</b:RefOrder>
  </b:Source>
  <b:Source>
    <b:Tag>Mur89</b:Tag>
    <b:SourceType>JournalArticle</b:SourceType>
    <b:Guid>{1AFA98AA-7C30-47A9-996F-E3003EA4FD3B}</b:Guid>
    <b:Title>A 1934 Interview with Marcel Mauss</b:Title>
    <b:Year>1989</b:Year>
    <b:Author>
      <b:Author>
        <b:NameList>
          <b:Person>
            <b:Last>Murray</b:Last>
            <b:First>S.</b:First>
            <b:Middle>O.</b:Middle>
          </b:Person>
          <b:Person>
            <b:Last>Mauss</b:Last>
            <b:First>M.</b:First>
          </b:Person>
        </b:NameList>
      </b:Author>
    </b:Author>
    <b:JournalName>American Ethnologist</b:JournalName>
    <b:Pages>163-168</b:Pages>
    <b:Volume>XVI</b:Volume>
    <b:Issue>1</b:Issue>
    <b:RefOrder>3</b:RefOrder>
  </b:Source>
  <b:Source>
    <b:Tag>Lév68</b:Tag>
    <b:SourceType>BookSection</b:SourceType>
    <b:Guid>{6506182D-D482-4A2B-A6F0-95270F146B51}</b:Guid>
    <b:Title>Introduction à l’œuvre de Marcel Mauss</b:Title>
    <b:Year>1968</b:Year>
    <b:Pages>VII-LII</b:Pages>
    <b:City>Paris</b:City>
    <b:Publisher>P.U.F.</b:Publisher>
    <b:Author>
      <b:Author>
        <b:NameList>
          <b:Person>
            <b:Last>Lévi-Strauss</b:Last>
            <b:First>C.</b:First>
          </b:Person>
        </b:NameList>
      </b:Author>
      <b:BookAuthor>
        <b:NameList>
          <b:Person>
            <b:Last>Mauss</b:Last>
            <b:First>M.</b:First>
          </b:Person>
        </b:NameList>
      </b:BookAuthor>
    </b:Author>
    <b:BookTitle>Sociologie et anthropologie</b:BookTitle>
    <b:RefOrder>1</b:RefOrder>
  </b:Source>
</b:Sources>
</file>

<file path=customXml/itemProps1.xml><?xml version="1.0" encoding="utf-8"?>
<ds:datastoreItem xmlns:ds="http://schemas.openxmlformats.org/officeDocument/2006/customXml" ds:itemID="{0F5566BD-8B37-46E6-8D0A-B1FE37DA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2016-08-01T22:02:00Z</dcterms:created>
  <dcterms:modified xsi:type="dcterms:W3CDTF">2016-08-01T22:07:00Z</dcterms:modified>
</cp:coreProperties>
</file>