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A4F5C6" w14:textId="77777777" w:rsidTr="00922950">
        <w:tc>
          <w:tcPr>
            <w:tcW w:w="491" w:type="dxa"/>
            <w:vMerge w:val="restart"/>
            <w:shd w:val="clear" w:color="auto" w:fill="A6A6A6" w:themeFill="background1" w:themeFillShade="A6"/>
            <w:textDirection w:val="btLr"/>
          </w:tcPr>
          <w:p w14:paraId="2E4578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961583A0CD5A41BC1B6195D28D0C4C"/>
            </w:placeholder>
            <w:showingPlcHdr/>
            <w:dropDownList>
              <w:listItem w:displayText="Dr." w:value="Dr."/>
              <w:listItem w:displayText="Prof." w:value="Prof."/>
            </w:dropDownList>
          </w:sdtPr>
          <w:sdtEndPr/>
          <w:sdtContent>
            <w:tc>
              <w:tcPr>
                <w:tcW w:w="1259" w:type="dxa"/>
              </w:tcPr>
              <w:p w14:paraId="3A3A4C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58188FD39E9E4797193616BEC13FC3"/>
            </w:placeholder>
            <w:text/>
          </w:sdtPr>
          <w:sdtEndPr/>
          <w:sdtContent>
            <w:tc>
              <w:tcPr>
                <w:tcW w:w="2073" w:type="dxa"/>
              </w:tcPr>
              <w:p w14:paraId="6985E2B9" w14:textId="77777777" w:rsidR="00B574C9" w:rsidRDefault="00606224" w:rsidP="00606224">
                <w:r>
                  <w:t>Andy</w:t>
                </w:r>
              </w:p>
            </w:tc>
          </w:sdtContent>
        </w:sdt>
        <w:sdt>
          <w:sdtPr>
            <w:alias w:val="Middle name"/>
            <w:tag w:val="authorMiddleName"/>
            <w:id w:val="-2076034781"/>
            <w:placeholder>
              <w:docPart w:val="4230D164F1FF7F49A13AD94429ABEDA1"/>
            </w:placeholder>
            <w:showingPlcHdr/>
            <w:text/>
          </w:sdtPr>
          <w:sdtEndPr/>
          <w:sdtContent>
            <w:tc>
              <w:tcPr>
                <w:tcW w:w="2551" w:type="dxa"/>
              </w:tcPr>
              <w:p w14:paraId="5057C147" w14:textId="77777777" w:rsidR="00B574C9" w:rsidRDefault="00B574C9" w:rsidP="00922950">
                <w:r>
                  <w:rPr>
                    <w:rStyle w:val="PlaceholderText"/>
                  </w:rPr>
                  <w:t>[Middle name]</w:t>
                </w:r>
              </w:p>
            </w:tc>
          </w:sdtContent>
        </w:sdt>
        <w:sdt>
          <w:sdtPr>
            <w:alias w:val="Last name"/>
            <w:tag w:val="authorLastName"/>
            <w:id w:val="-1088529830"/>
            <w:placeholder>
              <w:docPart w:val="ED04106242AE7D4FA29E0717C1D60AFF"/>
            </w:placeholder>
            <w:text/>
          </w:sdtPr>
          <w:sdtEndPr/>
          <w:sdtContent>
            <w:tc>
              <w:tcPr>
                <w:tcW w:w="2642" w:type="dxa"/>
              </w:tcPr>
              <w:p w14:paraId="519E941D" w14:textId="77777777" w:rsidR="00B574C9" w:rsidRDefault="00606224" w:rsidP="00606224">
                <w:r>
                  <w:t>Hines</w:t>
                </w:r>
              </w:p>
            </w:tc>
          </w:sdtContent>
        </w:sdt>
      </w:tr>
      <w:tr w:rsidR="00B574C9" w14:paraId="279E89DB" w14:textId="77777777" w:rsidTr="001A6A06">
        <w:trPr>
          <w:trHeight w:val="986"/>
        </w:trPr>
        <w:tc>
          <w:tcPr>
            <w:tcW w:w="491" w:type="dxa"/>
            <w:vMerge/>
            <w:shd w:val="clear" w:color="auto" w:fill="A6A6A6" w:themeFill="background1" w:themeFillShade="A6"/>
          </w:tcPr>
          <w:p w14:paraId="12759396" w14:textId="77777777" w:rsidR="00B574C9" w:rsidRPr="001A6A06" w:rsidRDefault="00B574C9" w:rsidP="00CF1542">
            <w:pPr>
              <w:jc w:val="center"/>
              <w:rPr>
                <w:b/>
                <w:color w:val="FFFFFF" w:themeColor="background1"/>
              </w:rPr>
            </w:pPr>
          </w:p>
        </w:tc>
        <w:sdt>
          <w:sdtPr>
            <w:alias w:val="Biography"/>
            <w:tag w:val="authorBiography"/>
            <w:id w:val="938807824"/>
            <w:placeholder>
              <w:docPart w:val="46FEB5C4A93DB846A42F3872EF756F04"/>
            </w:placeholder>
            <w:showingPlcHdr/>
          </w:sdtPr>
          <w:sdtEndPr/>
          <w:sdtContent>
            <w:tc>
              <w:tcPr>
                <w:tcW w:w="8525" w:type="dxa"/>
                <w:gridSpan w:val="4"/>
              </w:tcPr>
              <w:p w14:paraId="43AB8F20" w14:textId="77777777" w:rsidR="00B574C9" w:rsidRDefault="00B574C9" w:rsidP="00922950">
                <w:r>
                  <w:rPr>
                    <w:rStyle w:val="PlaceholderText"/>
                  </w:rPr>
                  <w:t>[Enter your biography]</w:t>
                </w:r>
              </w:p>
            </w:tc>
          </w:sdtContent>
        </w:sdt>
      </w:tr>
      <w:tr w:rsidR="00B574C9" w14:paraId="3E571663" w14:textId="77777777" w:rsidTr="001A6A06">
        <w:trPr>
          <w:trHeight w:val="986"/>
        </w:trPr>
        <w:tc>
          <w:tcPr>
            <w:tcW w:w="491" w:type="dxa"/>
            <w:vMerge/>
            <w:shd w:val="clear" w:color="auto" w:fill="A6A6A6" w:themeFill="background1" w:themeFillShade="A6"/>
          </w:tcPr>
          <w:p w14:paraId="081B5820" w14:textId="77777777" w:rsidR="00B574C9" w:rsidRPr="001A6A06" w:rsidRDefault="00B574C9" w:rsidP="00CF1542">
            <w:pPr>
              <w:jc w:val="center"/>
              <w:rPr>
                <w:b/>
                <w:color w:val="FFFFFF" w:themeColor="background1"/>
              </w:rPr>
            </w:pPr>
          </w:p>
        </w:tc>
        <w:sdt>
          <w:sdtPr>
            <w:alias w:val="Affiliation"/>
            <w:tag w:val="affiliation"/>
            <w:id w:val="2012937915"/>
            <w:placeholder>
              <w:docPart w:val="905FB6B674F264499E3F61553BA6B08F"/>
            </w:placeholder>
            <w:text/>
          </w:sdtPr>
          <w:sdtEndPr/>
          <w:sdtContent>
            <w:tc>
              <w:tcPr>
                <w:tcW w:w="8525" w:type="dxa"/>
                <w:gridSpan w:val="4"/>
              </w:tcPr>
              <w:p w14:paraId="1C1074A1" w14:textId="77777777" w:rsidR="00B574C9" w:rsidRDefault="00606224" w:rsidP="00606224">
                <w:r>
                  <w:t>Vanderbilt University</w:t>
                </w:r>
              </w:p>
            </w:tc>
          </w:sdtContent>
        </w:sdt>
      </w:tr>
    </w:tbl>
    <w:p w14:paraId="2E029B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353DC0" w14:textId="77777777" w:rsidTr="00244BB0">
        <w:tc>
          <w:tcPr>
            <w:tcW w:w="9016" w:type="dxa"/>
            <w:shd w:val="clear" w:color="auto" w:fill="A6A6A6" w:themeFill="background1" w:themeFillShade="A6"/>
            <w:tcMar>
              <w:top w:w="113" w:type="dxa"/>
              <w:bottom w:w="113" w:type="dxa"/>
            </w:tcMar>
          </w:tcPr>
          <w:p w14:paraId="352388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0904B1" w14:textId="77777777" w:rsidTr="003F0D73">
        <w:sdt>
          <w:sdtPr>
            <w:alias w:val="Article headword"/>
            <w:tag w:val="articleHeadword"/>
            <w:id w:val="-361440020"/>
            <w:placeholder>
              <w:docPart w:val="7B3C99D5BE9374429A0009253FCBF397"/>
            </w:placeholder>
            <w:text/>
          </w:sdtPr>
          <w:sdtEndPr/>
          <w:sdtContent>
            <w:tc>
              <w:tcPr>
                <w:tcW w:w="9016" w:type="dxa"/>
                <w:tcMar>
                  <w:top w:w="113" w:type="dxa"/>
                  <w:bottom w:w="113" w:type="dxa"/>
                </w:tcMar>
              </w:tcPr>
              <w:p w14:paraId="288EB02A" w14:textId="77777777" w:rsidR="003F0D73" w:rsidRPr="00FB589A" w:rsidRDefault="00606224" w:rsidP="00F40083">
                <w:r>
                  <w:t xml:space="preserve"> New Criticism</w:t>
                </w:r>
              </w:p>
            </w:tc>
          </w:sdtContent>
        </w:sdt>
      </w:tr>
      <w:tr w:rsidR="00464699" w14:paraId="62F3FC72" w14:textId="77777777" w:rsidTr="007821B0">
        <w:sdt>
          <w:sdtPr>
            <w:alias w:val="Variant headwords"/>
            <w:tag w:val="variantHeadwords"/>
            <w:id w:val="173464402"/>
            <w:placeholder>
              <w:docPart w:val="7AB631D683E9FE4BB5B9A8904EFE82D0"/>
            </w:placeholder>
            <w:showingPlcHdr/>
          </w:sdtPr>
          <w:sdtEndPr/>
          <w:sdtContent>
            <w:tc>
              <w:tcPr>
                <w:tcW w:w="9016" w:type="dxa"/>
                <w:tcMar>
                  <w:top w:w="113" w:type="dxa"/>
                  <w:bottom w:w="113" w:type="dxa"/>
                </w:tcMar>
              </w:tcPr>
              <w:p w14:paraId="4605AE1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C59CA3" w14:textId="77777777" w:rsidTr="003F0D73">
        <w:sdt>
          <w:sdtPr>
            <w:alias w:val="Abstract"/>
            <w:tag w:val="abstract"/>
            <w:id w:val="-635871867"/>
            <w:placeholder>
              <w:docPart w:val="7682A6B49BBEB1459FEC43BBA709A7AF"/>
            </w:placeholder>
          </w:sdtPr>
          <w:sdtEndPr/>
          <w:sdtContent>
            <w:tc>
              <w:tcPr>
                <w:tcW w:w="9016" w:type="dxa"/>
                <w:tcMar>
                  <w:top w:w="113" w:type="dxa"/>
                  <w:bottom w:w="113" w:type="dxa"/>
                </w:tcMar>
              </w:tcPr>
              <w:p w14:paraId="452890AF" w14:textId="77777777" w:rsidR="00606224" w:rsidRDefault="00606224" w:rsidP="00606224">
                <w:r>
                  <w:t>Formed in response to philological, historical, and moral methods of teaching literature in the mid-1930s, the New Criticism was an American critical movement that insisted poetry should be read as a distinctive object of communication, not a moralizing lesson or a biographical example. The New Critics sought to make the formalist interpretation of poetry the focus of literary education. While their hermeneutics deemphasized the role of politics, history, and authorial intent, the push for the acceptance of criticism in the academy was part of a political effort to preserve tradition in the face of mass culture.</w:t>
                </w:r>
              </w:p>
              <w:p w14:paraId="4043594C" w14:textId="77777777" w:rsidR="00E85A05" w:rsidRDefault="00E85A05" w:rsidP="00E85A05"/>
            </w:tc>
          </w:sdtContent>
        </w:sdt>
      </w:tr>
      <w:tr w:rsidR="003F0D73" w14:paraId="47CC4B2A" w14:textId="77777777" w:rsidTr="003F0D73">
        <w:sdt>
          <w:sdtPr>
            <w:alias w:val="Article text"/>
            <w:tag w:val="articleText"/>
            <w:id w:val="634067588"/>
            <w:placeholder>
              <w:docPart w:val="0DDF6789CD98CB4B880FFD2229930CAB"/>
            </w:placeholder>
          </w:sdtPr>
          <w:sdtEndPr/>
          <w:sdtContent>
            <w:sdt>
              <w:sdtPr>
                <w:alias w:val="Abstract"/>
                <w:tag w:val="abstract"/>
                <w:id w:val="2087730258"/>
                <w:placeholder>
                  <w:docPart w:val="06A50CED5C9C234D9D497197A26BBF35"/>
                </w:placeholder>
              </w:sdtPr>
              <w:sdtEndPr/>
              <w:sdtContent>
                <w:tc>
                  <w:tcPr>
                    <w:tcW w:w="9016" w:type="dxa"/>
                    <w:tcMar>
                      <w:top w:w="113" w:type="dxa"/>
                      <w:bottom w:w="113" w:type="dxa"/>
                    </w:tcMar>
                  </w:tcPr>
                  <w:p w14:paraId="221705DD" w14:textId="77777777" w:rsidR="00606224" w:rsidRDefault="00606224" w:rsidP="00606224">
                    <w:r>
                      <w:t xml:space="preserve">Formed in response to philological, historical, and moral methods of teaching literature in the mid-1930s, the New Criticism was an American critical movement that insisted poetry should be read as a distinctive object of communication, not a moralizing lesson or a biographical example. The New Critics sought to make the formalist interpretation of poetry the focus of literary education. While their hermeneutics deemphasized the role of politics, history, and authorial intent, the push for the acceptance of criticism in the academy was part of a political effort to preserve tradition in the face of mass culture. Inspired by I. A. Richards and T. S. Eliot, New Critics, including Monroe Beardsley, R. P. </w:t>
                    </w:r>
                    <w:proofErr w:type="spellStart"/>
                    <w:r>
                      <w:t>Blackmur</w:t>
                    </w:r>
                    <w:proofErr w:type="spellEnd"/>
                    <w:r>
                      <w:t xml:space="preserve">, </w:t>
                    </w:r>
                    <w:proofErr w:type="spellStart"/>
                    <w:r>
                      <w:t>Cleanth</w:t>
                    </w:r>
                    <w:proofErr w:type="spellEnd"/>
                    <w:r>
                      <w:t xml:space="preserve"> Brooks, John Crowe Ransom, Allen Tate, Robert Penn Warren, W. K. </w:t>
                    </w:r>
                    <w:proofErr w:type="spellStart"/>
                    <w:r>
                      <w:t>Wimsatt</w:t>
                    </w:r>
                    <w:proofErr w:type="spellEnd"/>
                    <w:r>
                      <w:t xml:space="preserve">, and René </w:t>
                    </w:r>
                    <w:proofErr w:type="spellStart"/>
                    <w:r>
                      <w:t>Wellek</w:t>
                    </w:r>
                    <w:proofErr w:type="spellEnd"/>
                    <w:r>
                      <w:t>, interpreted poetry by des</w:t>
                    </w:r>
                    <w:r w:rsidR="004C57F3">
                      <w:t>cribing the ways that a poem’s ‘prose core’</w:t>
                    </w:r>
                    <w:r>
                      <w:t xml:space="preserve"> was interwoven with its s</w:t>
                    </w:r>
                    <w:r w:rsidR="004C57F3">
                      <w:t>tylistic ‘tissue’,</w:t>
                    </w:r>
                    <w:r>
                      <w:t xml:space="preserve"> via the rubrics of irony, ambiguity, and paradox. Brooks and Warren’s </w:t>
                    </w:r>
                    <w:r>
                      <w:rPr>
                        <w:i/>
                      </w:rPr>
                      <w:t xml:space="preserve">Understanding Poetry </w:t>
                    </w:r>
                    <w:r>
                      <w:t xml:space="preserve">and </w:t>
                    </w:r>
                    <w:r>
                      <w:rPr>
                        <w:i/>
                      </w:rPr>
                      <w:t>Understanding Fiction</w:t>
                    </w:r>
                    <w:r>
                      <w:t xml:space="preserve"> textbooks helped to expand the reach of New Critical methodology to college classrooms. Combined with an influential collection of critical quarterlies</w:t>
                    </w:r>
                    <w:r w:rsidR="00F40083">
                      <w:t xml:space="preserve"> </w:t>
                    </w:r>
                    <w:r>
                      <w:t>—</w:t>
                    </w:r>
                    <w:r w:rsidR="00F40083">
                      <w:t xml:space="preserve"> </w:t>
                    </w:r>
                    <w:r>
                      <w:rPr>
                        <w:i/>
                      </w:rPr>
                      <w:t>The Kenyon Review, The Southern Review</w:t>
                    </w:r>
                    <w:r>
                      <w:t xml:space="preserve">, and </w:t>
                    </w:r>
                    <w:r>
                      <w:rPr>
                        <w:i/>
                      </w:rPr>
                      <w:t>The Sewanee Review</w:t>
                    </w:r>
                    <w:r w:rsidR="00F40083">
                      <w:rPr>
                        <w:i/>
                      </w:rPr>
                      <w:t xml:space="preserve"> </w:t>
                    </w:r>
                    <w:r>
                      <w:t>—</w:t>
                    </w:r>
                    <w:r w:rsidR="00F40083">
                      <w:t xml:space="preserve"> </w:t>
                    </w:r>
                    <w:r>
                      <w:t xml:space="preserve">these textbooks helped to solidify New Criticism as the dominant mode of literary inquiry in the United States by the 1950s. Because of the New Criticism’s dominance and its tendencies to de-emphasize history and politics in literary studies, its rise has often been too quickly separated from the Agrarian politics of its members from the U.S. South. Ransom, Tate, and Warren were among the twelve southerners who authored </w:t>
                    </w:r>
                    <w:r>
                      <w:rPr>
                        <w:i/>
                      </w:rPr>
                      <w:t xml:space="preserve">I’ll Take My Stand </w:t>
                    </w:r>
                    <w:r>
                      <w:t xml:space="preserve">in 1930, a tract against the growth of industrialized capitalism in Southern states. Their solution was a return to a political economy based on agriculture that would preserve traditional Southern culture, regardless of the racial assumptions that came with it. Despite the exhaustion of the morality or practicality of the Agrarian position, Agrarian New Critics were simultaneously developing their interpretive approach as well as their politics in Seward Collins’s </w:t>
                    </w:r>
                    <w:r>
                      <w:rPr>
                        <w:i/>
                      </w:rPr>
                      <w:t>The American Review</w:t>
                    </w:r>
                    <w:r>
                      <w:t xml:space="preserve"> during the mid- to late-1930s. After the Civil Rights movement and the increased importance of politics and history to literary studies, New Criticism’s turn away from politics and from history provided a shield for its own discriminatory practices. Major works of New Critical </w:t>
                    </w:r>
                    <w:r>
                      <w:lastRenderedPageBreak/>
                      <w:t xml:space="preserve">inquiry include </w:t>
                    </w:r>
                    <w:proofErr w:type="spellStart"/>
                    <w:r>
                      <w:t>Cleanth</w:t>
                    </w:r>
                    <w:proofErr w:type="spellEnd"/>
                    <w:r>
                      <w:t xml:space="preserve"> </w:t>
                    </w:r>
                    <w:proofErr w:type="spellStart"/>
                    <w:r>
                      <w:t>Brooks’s</w:t>
                    </w:r>
                    <w:proofErr w:type="spellEnd"/>
                    <w:r>
                      <w:t xml:space="preserve"> </w:t>
                    </w:r>
                    <w:r>
                      <w:rPr>
                        <w:i/>
                      </w:rPr>
                      <w:t>The Well Wrought Urn</w:t>
                    </w:r>
                    <w:r>
                      <w:t xml:space="preserve"> (1947), John Crowe Ransom’s </w:t>
                    </w:r>
                    <w:r>
                      <w:rPr>
                        <w:i/>
                      </w:rPr>
                      <w:t>The New Criticism</w:t>
                    </w:r>
                    <w:r>
                      <w:t xml:space="preserve"> (194</w:t>
                    </w:r>
                    <w:r w:rsidR="004C57F3">
                      <w:t xml:space="preserve">1) and </w:t>
                    </w:r>
                    <w:proofErr w:type="spellStart"/>
                    <w:r w:rsidR="004C57F3">
                      <w:t>Wimsatt</w:t>
                    </w:r>
                    <w:proofErr w:type="spellEnd"/>
                    <w:r w:rsidR="004C57F3">
                      <w:t xml:space="preserve"> and Beardsley’s ‘The Affective Fallacy’ and ‘</w:t>
                    </w:r>
                    <w:r>
                      <w:t>The Intentional Fallacy</w:t>
                    </w:r>
                    <w:r w:rsidR="004C57F3">
                      <w:t>’.</w:t>
                    </w:r>
                  </w:p>
                  <w:p w14:paraId="6848B172" w14:textId="77777777" w:rsidR="003F0D73" w:rsidRDefault="003F0D73" w:rsidP="00606224"/>
                </w:tc>
              </w:sdtContent>
            </w:sdt>
          </w:sdtContent>
        </w:sdt>
      </w:tr>
      <w:tr w:rsidR="003235A7" w14:paraId="12228939" w14:textId="77777777" w:rsidTr="003235A7">
        <w:tc>
          <w:tcPr>
            <w:tcW w:w="9016" w:type="dxa"/>
          </w:tcPr>
          <w:p w14:paraId="036C618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8D974215CED554496AB1A4DCD67DD82"/>
              </w:placeholder>
            </w:sdtPr>
            <w:sdtEndPr/>
            <w:sdtContent>
              <w:p w14:paraId="6FE72926" w14:textId="77777777" w:rsidR="003235A7" w:rsidRDefault="00606224" w:rsidP="00FB11DE">
                <w:r>
                  <w:t xml:space="preserve"> </w:t>
                </w:r>
                <w:sdt>
                  <w:sdtPr>
                    <w:id w:val="1956056405"/>
                    <w:citation/>
                  </w:sdtPr>
                  <w:sdtEndPr/>
                  <w:sdtContent>
                    <w:bookmarkStart w:id="0" w:name="_GoBack"/>
                    <w:r w:rsidR="004C57F3">
                      <w:fldChar w:fldCharType="begin"/>
                    </w:r>
                    <w:r w:rsidR="00F40083">
                      <w:rPr>
                        <w:lang w:val="en-CA"/>
                      </w:rPr>
                      <w:instrText xml:space="preserve">CITATION Lit00 \l 4105 </w:instrText>
                    </w:r>
                    <w:r w:rsidR="004C57F3">
                      <w:fldChar w:fldCharType="separate"/>
                    </w:r>
                    <w:r w:rsidR="00F40083" w:rsidRPr="00F40083">
                      <w:rPr>
                        <w:noProof/>
                        <w:lang w:val="en-CA"/>
                      </w:rPr>
                      <w:t>(Litz and Kennedy)</w:t>
                    </w:r>
                    <w:r w:rsidR="004C57F3">
                      <w:fldChar w:fldCharType="end"/>
                    </w:r>
                    <w:bookmarkEnd w:id="0"/>
                  </w:sdtContent>
                </w:sdt>
              </w:p>
            </w:sdtContent>
          </w:sdt>
        </w:tc>
      </w:tr>
    </w:tbl>
    <w:p w14:paraId="51F7114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B8DED" w14:textId="77777777" w:rsidR="00546ED4" w:rsidRDefault="00546ED4" w:rsidP="007A0D55">
      <w:pPr>
        <w:spacing w:after="0" w:line="240" w:lineRule="auto"/>
      </w:pPr>
      <w:r>
        <w:separator/>
      </w:r>
    </w:p>
  </w:endnote>
  <w:endnote w:type="continuationSeparator" w:id="0">
    <w:p w14:paraId="0B31EECF" w14:textId="77777777" w:rsidR="00546ED4" w:rsidRDefault="00546E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E5B70" w14:textId="77777777" w:rsidR="00546ED4" w:rsidRDefault="00546ED4" w:rsidP="007A0D55">
      <w:pPr>
        <w:spacing w:after="0" w:line="240" w:lineRule="auto"/>
      </w:pPr>
      <w:r>
        <w:separator/>
      </w:r>
    </w:p>
  </w:footnote>
  <w:footnote w:type="continuationSeparator" w:id="0">
    <w:p w14:paraId="2A44E9A4" w14:textId="77777777" w:rsidR="00546ED4" w:rsidRDefault="00546E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F40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96934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22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57F3"/>
    <w:rsid w:val="004E5896"/>
    <w:rsid w:val="00513EE6"/>
    <w:rsid w:val="00534F8F"/>
    <w:rsid w:val="00546ED4"/>
    <w:rsid w:val="00590035"/>
    <w:rsid w:val="005B177E"/>
    <w:rsid w:val="005B3921"/>
    <w:rsid w:val="005F26D7"/>
    <w:rsid w:val="005F5450"/>
    <w:rsid w:val="0060622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370E0"/>
    <w:rsid w:val="00C6296B"/>
    <w:rsid w:val="00CC586D"/>
    <w:rsid w:val="00CF1542"/>
    <w:rsid w:val="00CF3EC5"/>
    <w:rsid w:val="00D63DE1"/>
    <w:rsid w:val="00D656DA"/>
    <w:rsid w:val="00D83300"/>
    <w:rsid w:val="00DC6B48"/>
    <w:rsid w:val="00DF01B0"/>
    <w:rsid w:val="00E85A05"/>
    <w:rsid w:val="00E95829"/>
    <w:rsid w:val="00EA606C"/>
    <w:rsid w:val="00EB0C8C"/>
    <w:rsid w:val="00EB51FD"/>
    <w:rsid w:val="00EB77DB"/>
    <w:rsid w:val="00ED139F"/>
    <w:rsid w:val="00EF74F7"/>
    <w:rsid w:val="00F36937"/>
    <w:rsid w:val="00F4008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2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22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2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2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69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961583A0CD5A41BC1B6195D28D0C4C"/>
        <w:category>
          <w:name w:val="General"/>
          <w:gallery w:val="placeholder"/>
        </w:category>
        <w:types>
          <w:type w:val="bbPlcHdr"/>
        </w:types>
        <w:behaviors>
          <w:behavior w:val="content"/>
        </w:behaviors>
        <w:guid w:val="{FCDC4F35-4664-214E-8921-35EB17C94E13}"/>
      </w:docPartPr>
      <w:docPartBody>
        <w:p w:rsidR="00E928A2" w:rsidRDefault="005565EB">
          <w:pPr>
            <w:pStyle w:val="AE961583A0CD5A41BC1B6195D28D0C4C"/>
          </w:pPr>
          <w:r w:rsidRPr="00CC586D">
            <w:rPr>
              <w:rStyle w:val="PlaceholderText"/>
              <w:b/>
              <w:color w:val="FFFFFF" w:themeColor="background1"/>
            </w:rPr>
            <w:t>[Salutation]</w:t>
          </w:r>
        </w:p>
      </w:docPartBody>
    </w:docPart>
    <w:docPart>
      <w:docPartPr>
        <w:name w:val="0A58188FD39E9E4797193616BEC13FC3"/>
        <w:category>
          <w:name w:val="General"/>
          <w:gallery w:val="placeholder"/>
        </w:category>
        <w:types>
          <w:type w:val="bbPlcHdr"/>
        </w:types>
        <w:behaviors>
          <w:behavior w:val="content"/>
        </w:behaviors>
        <w:guid w:val="{B4E1447F-A875-FD4A-9650-BFB18185F447}"/>
      </w:docPartPr>
      <w:docPartBody>
        <w:p w:rsidR="00E928A2" w:rsidRDefault="005565EB">
          <w:pPr>
            <w:pStyle w:val="0A58188FD39E9E4797193616BEC13FC3"/>
          </w:pPr>
          <w:r>
            <w:rPr>
              <w:rStyle w:val="PlaceholderText"/>
            </w:rPr>
            <w:t>[First name]</w:t>
          </w:r>
        </w:p>
      </w:docPartBody>
    </w:docPart>
    <w:docPart>
      <w:docPartPr>
        <w:name w:val="4230D164F1FF7F49A13AD94429ABEDA1"/>
        <w:category>
          <w:name w:val="General"/>
          <w:gallery w:val="placeholder"/>
        </w:category>
        <w:types>
          <w:type w:val="bbPlcHdr"/>
        </w:types>
        <w:behaviors>
          <w:behavior w:val="content"/>
        </w:behaviors>
        <w:guid w:val="{9FBDDD90-C1D4-D147-87E5-A55A61368175}"/>
      </w:docPartPr>
      <w:docPartBody>
        <w:p w:rsidR="00E928A2" w:rsidRDefault="005565EB">
          <w:pPr>
            <w:pStyle w:val="4230D164F1FF7F49A13AD94429ABEDA1"/>
          </w:pPr>
          <w:r>
            <w:rPr>
              <w:rStyle w:val="PlaceholderText"/>
            </w:rPr>
            <w:t>[Middle name]</w:t>
          </w:r>
        </w:p>
      </w:docPartBody>
    </w:docPart>
    <w:docPart>
      <w:docPartPr>
        <w:name w:val="ED04106242AE7D4FA29E0717C1D60AFF"/>
        <w:category>
          <w:name w:val="General"/>
          <w:gallery w:val="placeholder"/>
        </w:category>
        <w:types>
          <w:type w:val="bbPlcHdr"/>
        </w:types>
        <w:behaviors>
          <w:behavior w:val="content"/>
        </w:behaviors>
        <w:guid w:val="{55CDE14C-C29F-2F42-AED1-6A3EC174082B}"/>
      </w:docPartPr>
      <w:docPartBody>
        <w:p w:rsidR="00E928A2" w:rsidRDefault="005565EB">
          <w:pPr>
            <w:pStyle w:val="ED04106242AE7D4FA29E0717C1D60AFF"/>
          </w:pPr>
          <w:r>
            <w:rPr>
              <w:rStyle w:val="PlaceholderText"/>
            </w:rPr>
            <w:t>[Last name]</w:t>
          </w:r>
        </w:p>
      </w:docPartBody>
    </w:docPart>
    <w:docPart>
      <w:docPartPr>
        <w:name w:val="46FEB5C4A93DB846A42F3872EF756F04"/>
        <w:category>
          <w:name w:val="General"/>
          <w:gallery w:val="placeholder"/>
        </w:category>
        <w:types>
          <w:type w:val="bbPlcHdr"/>
        </w:types>
        <w:behaviors>
          <w:behavior w:val="content"/>
        </w:behaviors>
        <w:guid w:val="{E157E38F-8053-0843-9E07-9692C8898292}"/>
      </w:docPartPr>
      <w:docPartBody>
        <w:p w:rsidR="00E928A2" w:rsidRDefault="005565EB">
          <w:pPr>
            <w:pStyle w:val="46FEB5C4A93DB846A42F3872EF756F04"/>
          </w:pPr>
          <w:r>
            <w:rPr>
              <w:rStyle w:val="PlaceholderText"/>
            </w:rPr>
            <w:t>[Enter your biography]</w:t>
          </w:r>
        </w:p>
      </w:docPartBody>
    </w:docPart>
    <w:docPart>
      <w:docPartPr>
        <w:name w:val="905FB6B674F264499E3F61553BA6B08F"/>
        <w:category>
          <w:name w:val="General"/>
          <w:gallery w:val="placeholder"/>
        </w:category>
        <w:types>
          <w:type w:val="bbPlcHdr"/>
        </w:types>
        <w:behaviors>
          <w:behavior w:val="content"/>
        </w:behaviors>
        <w:guid w:val="{2719E620-ED8D-A844-A180-4B0350E85DAD}"/>
      </w:docPartPr>
      <w:docPartBody>
        <w:p w:rsidR="00E928A2" w:rsidRDefault="005565EB">
          <w:pPr>
            <w:pStyle w:val="905FB6B674F264499E3F61553BA6B08F"/>
          </w:pPr>
          <w:r>
            <w:rPr>
              <w:rStyle w:val="PlaceholderText"/>
            </w:rPr>
            <w:t>[Enter the institution with which you are affiliated]</w:t>
          </w:r>
        </w:p>
      </w:docPartBody>
    </w:docPart>
    <w:docPart>
      <w:docPartPr>
        <w:name w:val="7B3C99D5BE9374429A0009253FCBF397"/>
        <w:category>
          <w:name w:val="General"/>
          <w:gallery w:val="placeholder"/>
        </w:category>
        <w:types>
          <w:type w:val="bbPlcHdr"/>
        </w:types>
        <w:behaviors>
          <w:behavior w:val="content"/>
        </w:behaviors>
        <w:guid w:val="{414A5028-758D-7A4C-AA65-879418E5B0EF}"/>
      </w:docPartPr>
      <w:docPartBody>
        <w:p w:rsidR="00E928A2" w:rsidRDefault="005565EB">
          <w:pPr>
            <w:pStyle w:val="7B3C99D5BE9374429A0009253FCBF397"/>
          </w:pPr>
          <w:r w:rsidRPr="00EF74F7">
            <w:rPr>
              <w:b/>
              <w:color w:val="808080" w:themeColor="background1" w:themeShade="80"/>
            </w:rPr>
            <w:t>[Enter the headword for your article]</w:t>
          </w:r>
        </w:p>
      </w:docPartBody>
    </w:docPart>
    <w:docPart>
      <w:docPartPr>
        <w:name w:val="7AB631D683E9FE4BB5B9A8904EFE82D0"/>
        <w:category>
          <w:name w:val="General"/>
          <w:gallery w:val="placeholder"/>
        </w:category>
        <w:types>
          <w:type w:val="bbPlcHdr"/>
        </w:types>
        <w:behaviors>
          <w:behavior w:val="content"/>
        </w:behaviors>
        <w:guid w:val="{9895E466-F05C-CE44-85F0-C568C0A9AB16}"/>
      </w:docPartPr>
      <w:docPartBody>
        <w:p w:rsidR="00E928A2" w:rsidRDefault="005565EB">
          <w:pPr>
            <w:pStyle w:val="7AB631D683E9FE4BB5B9A8904EFE82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82A6B49BBEB1459FEC43BBA709A7AF"/>
        <w:category>
          <w:name w:val="General"/>
          <w:gallery w:val="placeholder"/>
        </w:category>
        <w:types>
          <w:type w:val="bbPlcHdr"/>
        </w:types>
        <w:behaviors>
          <w:behavior w:val="content"/>
        </w:behaviors>
        <w:guid w:val="{D56F7DB1-E46B-1F49-8D3C-A313B3C90409}"/>
      </w:docPartPr>
      <w:docPartBody>
        <w:p w:rsidR="00E928A2" w:rsidRDefault="005565EB">
          <w:pPr>
            <w:pStyle w:val="7682A6B49BBEB1459FEC43BBA709A7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DF6789CD98CB4B880FFD2229930CAB"/>
        <w:category>
          <w:name w:val="General"/>
          <w:gallery w:val="placeholder"/>
        </w:category>
        <w:types>
          <w:type w:val="bbPlcHdr"/>
        </w:types>
        <w:behaviors>
          <w:behavior w:val="content"/>
        </w:behaviors>
        <w:guid w:val="{8B2940DC-9C60-3F41-A184-28FC22AFBD9C}"/>
      </w:docPartPr>
      <w:docPartBody>
        <w:p w:rsidR="00E928A2" w:rsidRDefault="005565EB">
          <w:pPr>
            <w:pStyle w:val="0DDF6789CD98CB4B880FFD2229930C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D974215CED554496AB1A4DCD67DD82"/>
        <w:category>
          <w:name w:val="General"/>
          <w:gallery w:val="placeholder"/>
        </w:category>
        <w:types>
          <w:type w:val="bbPlcHdr"/>
        </w:types>
        <w:behaviors>
          <w:behavior w:val="content"/>
        </w:behaviors>
        <w:guid w:val="{A5453226-A55F-E94A-A702-F125E932FF0B}"/>
      </w:docPartPr>
      <w:docPartBody>
        <w:p w:rsidR="00E928A2" w:rsidRDefault="005565EB">
          <w:pPr>
            <w:pStyle w:val="E8D974215CED554496AB1A4DCD67DD82"/>
          </w:pPr>
          <w:r>
            <w:rPr>
              <w:rStyle w:val="PlaceholderText"/>
            </w:rPr>
            <w:t>[Enter citations for further reading here]</w:t>
          </w:r>
        </w:p>
      </w:docPartBody>
    </w:docPart>
    <w:docPart>
      <w:docPartPr>
        <w:name w:val="06A50CED5C9C234D9D497197A26BBF35"/>
        <w:category>
          <w:name w:val="General"/>
          <w:gallery w:val="placeholder"/>
        </w:category>
        <w:types>
          <w:type w:val="bbPlcHdr"/>
        </w:types>
        <w:behaviors>
          <w:behavior w:val="content"/>
        </w:behaviors>
        <w:guid w:val="{657F9A36-AB15-AC46-A6B7-CFC840CF1F9B}"/>
      </w:docPartPr>
      <w:docPartBody>
        <w:p w:rsidR="00E928A2" w:rsidRDefault="005565EB" w:rsidP="005565EB">
          <w:pPr>
            <w:pStyle w:val="06A50CED5C9C234D9D497197A26BBF3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5EB"/>
    <w:rsid w:val="005565EB"/>
    <w:rsid w:val="00BF653F"/>
    <w:rsid w:val="00E92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EB"/>
    <w:rPr>
      <w:color w:val="808080"/>
    </w:rPr>
  </w:style>
  <w:style w:type="paragraph" w:customStyle="1" w:styleId="AE961583A0CD5A41BC1B6195D28D0C4C">
    <w:name w:val="AE961583A0CD5A41BC1B6195D28D0C4C"/>
  </w:style>
  <w:style w:type="paragraph" w:customStyle="1" w:styleId="0A58188FD39E9E4797193616BEC13FC3">
    <w:name w:val="0A58188FD39E9E4797193616BEC13FC3"/>
  </w:style>
  <w:style w:type="paragraph" w:customStyle="1" w:styleId="4230D164F1FF7F49A13AD94429ABEDA1">
    <w:name w:val="4230D164F1FF7F49A13AD94429ABEDA1"/>
  </w:style>
  <w:style w:type="paragraph" w:customStyle="1" w:styleId="ED04106242AE7D4FA29E0717C1D60AFF">
    <w:name w:val="ED04106242AE7D4FA29E0717C1D60AFF"/>
  </w:style>
  <w:style w:type="paragraph" w:customStyle="1" w:styleId="46FEB5C4A93DB846A42F3872EF756F04">
    <w:name w:val="46FEB5C4A93DB846A42F3872EF756F04"/>
  </w:style>
  <w:style w:type="paragraph" w:customStyle="1" w:styleId="905FB6B674F264499E3F61553BA6B08F">
    <w:name w:val="905FB6B674F264499E3F61553BA6B08F"/>
  </w:style>
  <w:style w:type="paragraph" w:customStyle="1" w:styleId="7B3C99D5BE9374429A0009253FCBF397">
    <w:name w:val="7B3C99D5BE9374429A0009253FCBF397"/>
  </w:style>
  <w:style w:type="paragraph" w:customStyle="1" w:styleId="7AB631D683E9FE4BB5B9A8904EFE82D0">
    <w:name w:val="7AB631D683E9FE4BB5B9A8904EFE82D0"/>
  </w:style>
  <w:style w:type="paragraph" w:customStyle="1" w:styleId="7682A6B49BBEB1459FEC43BBA709A7AF">
    <w:name w:val="7682A6B49BBEB1459FEC43BBA709A7AF"/>
  </w:style>
  <w:style w:type="paragraph" w:customStyle="1" w:styleId="0DDF6789CD98CB4B880FFD2229930CAB">
    <w:name w:val="0DDF6789CD98CB4B880FFD2229930CAB"/>
  </w:style>
  <w:style w:type="paragraph" w:customStyle="1" w:styleId="E8D974215CED554496AB1A4DCD67DD82">
    <w:name w:val="E8D974215CED554496AB1A4DCD67DD82"/>
  </w:style>
  <w:style w:type="paragraph" w:customStyle="1" w:styleId="06A50CED5C9C234D9D497197A26BBF35">
    <w:name w:val="06A50CED5C9C234D9D497197A26BBF35"/>
    <w:rsid w:val="005565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EB"/>
    <w:rPr>
      <w:color w:val="808080"/>
    </w:rPr>
  </w:style>
  <w:style w:type="paragraph" w:customStyle="1" w:styleId="AE961583A0CD5A41BC1B6195D28D0C4C">
    <w:name w:val="AE961583A0CD5A41BC1B6195D28D0C4C"/>
  </w:style>
  <w:style w:type="paragraph" w:customStyle="1" w:styleId="0A58188FD39E9E4797193616BEC13FC3">
    <w:name w:val="0A58188FD39E9E4797193616BEC13FC3"/>
  </w:style>
  <w:style w:type="paragraph" w:customStyle="1" w:styleId="4230D164F1FF7F49A13AD94429ABEDA1">
    <w:name w:val="4230D164F1FF7F49A13AD94429ABEDA1"/>
  </w:style>
  <w:style w:type="paragraph" w:customStyle="1" w:styleId="ED04106242AE7D4FA29E0717C1D60AFF">
    <w:name w:val="ED04106242AE7D4FA29E0717C1D60AFF"/>
  </w:style>
  <w:style w:type="paragraph" w:customStyle="1" w:styleId="46FEB5C4A93DB846A42F3872EF756F04">
    <w:name w:val="46FEB5C4A93DB846A42F3872EF756F04"/>
  </w:style>
  <w:style w:type="paragraph" w:customStyle="1" w:styleId="905FB6B674F264499E3F61553BA6B08F">
    <w:name w:val="905FB6B674F264499E3F61553BA6B08F"/>
  </w:style>
  <w:style w:type="paragraph" w:customStyle="1" w:styleId="7B3C99D5BE9374429A0009253FCBF397">
    <w:name w:val="7B3C99D5BE9374429A0009253FCBF397"/>
  </w:style>
  <w:style w:type="paragraph" w:customStyle="1" w:styleId="7AB631D683E9FE4BB5B9A8904EFE82D0">
    <w:name w:val="7AB631D683E9FE4BB5B9A8904EFE82D0"/>
  </w:style>
  <w:style w:type="paragraph" w:customStyle="1" w:styleId="7682A6B49BBEB1459FEC43BBA709A7AF">
    <w:name w:val="7682A6B49BBEB1459FEC43BBA709A7AF"/>
  </w:style>
  <w:style w:type="paragraph" w:customStyle="1" w:styleId="0DDF6789CD98CB4B880FFD2229930CAB">
    <w:name w:val="0DDF6789CD98CB4B880FFD2229930CAB"/>
  </w:style>
  <w:style w:type="paragraph" w:customStyle="1" w:styleId="E8D974215CED554496AB1A4DCD67DD82">
    <w:name w:val="E8D974215CED554496AB1A4DCD67DD82"/>
  </w:style>
  <w:style w:type="paragraph" w:customStyle="1" w:styleId="06A50CED5C9C234D9D497197A26BBF35">
    <w:name w:val="06A50CED5C9C234D9D497197A26BBF35"/>
    <w:rsid w:val="00556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Lit00</b:Tag>
    <b:SourceType>BookSection</b:SourceType>
    <b:Guid>{83A25EE8-44A9-5145-8B96-BD9169146BD3}</b:Guid>
    <b:Title>Bibliography: New Critics</b:Title>
    <b:Year>2000</b:Year>
    <b:City>Cambridge</b:City>
    <b:Publisher>Cambridge University Press</b:Publisher>
    <b:Author>
      <b:Author>
        <b:NameList>
          <b:Person>
            <b:Last>Litz</b:Last>
            <b:First>A.</b:First>
            <b:Middle>Walton</b:Middle>
          </b:Person>
          <b:Person>
            <b:Last>Kennedy</b:Last>
            <b:First>George</b:First>
            <b:Middle>Alexander</b:Middle>
          </b:Person>
        </b:NameList>
      </b:Author>
    </b:Author>
    <b:BookTitle>The Cambridge History of Literary Criticism</b:BookTitle>
    <b:Pages>512-526</b:Pages>
    <b:Volume>7</b:Volume>
    <b:RefOrder>1</b:RefOrder>
  </b:Source>
</b:Sources>
</file>

<file path=customXml/itemProps1.xml><?xml version="1.0" encoding="utf-8"?>
<ds:datastoreItem xmlns:ds="http://schemas.openxmlformats.org/officeDocument/2006/customXml" ds:itemID="{E1EEB19D-40C8-024E-869B-1E500F7A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9</TotalTime>
  <Pages>2</Pages>
  <Words>532</Words>
  <Characters>3037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Caroline Winter</cp:lastModifiedBy>
  <cp:revision>3</cp:revision>
  <dcterms:created xsi:type="dcterms:W3CDTF">2014-03-10T21:18:00Z</dcterms:created>
  <dcterms:modified xsi:type="dcterms:W3CDTF">2016-03-18T05:33:00Z</dcterms:modified>
</cp:coreProperties>
</file>