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12503" w:rsidRPr="00812503" w14:paraId="61E90CD2" w14:textId="77777777" w:rsidTr="00812503">
        <w:tc>
          <w:tcPr>
            <w:tcW w:w="491" w:type="dxa"/>
            <w:vMerge w:val="restart"/>
            <w:shd w:val="clear" w:color="auto" w:fill="A6A6A6"/>
            <w:textDirection w:val="btLr"/>
          </w:tcPr>
          <w:p w14:paraId="1B39A3A0" w14:textId="77777777" w:rsidR="00B574C9" w:rsidRPr="00812503" w:rsidRDefault="00B574C9" w:rsidP="00812503">
            <w:pPr>
              <w:spacing w:after="0" w:line="240" w:lineRule="auto"/>
              <w:jc w:val="center"/>
              <w:rPr>
                <w:b/>
                <w:color w:val="FFFFFF"/>
              </w:rPr>
            </w:pPr>
            <w:r w:rsidRPr="00812503">
              <w:rPr>
                <w:b/>
                <w:color w:val="FFFFFF"/>
              </w:rPr>
              <w:t>About you</w:t>
            </w:r>
          </w:p>
        </w:tc>
        <w:tc>
          <w:tcPr>
            <w:tcW w:w="1259" w:type="dxa"/>
            <w:shd w:val="clear" w:color="auto" w:fill="auto"/>
          </w:tcPr>
          <w:p w14:paraId="0D470054" w14:textId="77777777" w:rsidR="00B574C9" w:rsidRPr="00812503" w:rsidRDefault="00B574C9" w:rsidP="00812503">
            <w:pPr>
              <w:spacing w:after="0" w:line="240" w:lineRule="auto"/>
              <w:jc w:val="center"/>
              <w:rPr>
                <w:b/>
                <w:color w:val="FFFFFF"/>
              </w:rPr>
            </w:pPr>
            <w:r w:rsidRPr="00812503">
              <w:rPr>
                <w:rStyle w:val="PlaceholderText"/>
                <w:b/>
                <w:color w:val="FFFFFF"/>
              </w:rPr>
              <w:t>[Salutation]</w:t>
            </w:r>
          </w:p>
        </w:tc>
        <w:tc>
          <w:tcPr>
            <w:tcW w:w="2073" w:type="dxa"/>
            <w:shd w:val="clear" w:color="auto" w:fill="auto"/>
          </w:tcPr>
          <w:p w14:paraId="77E449C3" w14:textId="77777777" w:rsidR="00B574C9" w:rsidRPr="00812503" w:rsidRDefault="009F2D3F" w:rsidP="00812503">
            <w:pPr>
              <w:spacing w:after="0" w:line="240" w:lineRule="auto"/>
            </w:pPr>
            <w:r>
              <w:t>Joseph</w:t>
            </w:r>
          </w:p>
        </w:tc>
        <w:tc>
          <w:tcPr>
            <w:tcW w:w="2551" w:type="dxa"/>
            <w:shd w:val="clear" w:color="auto" w:fill="auto"/>
          </w:tcPr>
          <w:p w14:paraId="0BEEC756" w14:textId="77777777" w:rsidR="00B574C9" w:rsidRPr="00812503" w:rsidRDefault="009F2D3F" w:rsidP="00812503">
            <w:pPr>
              <w:spacing w:after="0" w:line="240" w:lineRule="auto"/>
            </w:pPr>
            <w:r>
              <w:t>Emmanuel</w:t>
            </w:r>
          </w:p>
        </w:tc>
        <w:tc>
          <w:tcPr>
            <w:tcW w:w="2642" w:type="dxa"/>
            <w:shd w:val="clear" w:color="auto" w:fill="auto"/>
          </w:tcPr>
          <w:p w14:paraId="6261EDB4" w14:textId="77777777" w:rsidR="00B574C9" w:rsidRPr="00812503" w:rsidRDefault="009F2D3F" w:rsidP="00812503">
            <w:pPr>
              <w:spacing w:after="0" w:line="240" w:lineRule="auto"/>
            </w:pPr>
            <w:proofErr w:type="spellStart"/>
            <w:r>
              <w:t>Sanzo</w:t>
            </w:r>
            <w:proofErr w:type="spellEnd"/>
          </w:p>
        </w:tc>
      </w:tr>
      <w:tr w:rsidR="00812503" w:rsidRPr="00812503" w14:paraId="4B9538F5" w14:textId="77777777" w:rsidTr="00812503">
        <w:trPr>
          <w:trHeight w:val="986"/>
        </w:trPr>
        <w:tc>
          <w:tcPr>
            <w:tcW w:w="491" w:type="dxa"/>
            <w:vMerge/>
            <w:shd w:val="clear" w:color="auto" w:fill="A6A6A6"/>
          </w:tcPr>
          <w:p w14:paraId="449DCCD9" w14:textId="77777777" w:rsidR="00B574C9" w:rsidRPr="00812503" w:rsidRDefault="00B574C9" w:rsidP="00812503">
            <w:pPr>
              <w:spacing w:after="0" w:line="240" w:lineRule="auto"/>
              <w:jc w:val="center"/>
              <w:rPr>
                <w:b/>
                <w:color w:val="FFFFFF"/>
              </w:rPr>
            </w:pPr>
          </w:p>
        </w:tc>
        <w:tc>
          <w:tcPr>
            <w:tcW w:w="8525" w:type="dxa"/>
            <w:gridSpan w:val="4"/>
            <w:shd w:val="clear" w:color="auto" w:fill="auto"/>
          </w:tcPr>
          <w:p w14:paraId="74C884A2" w14:textId="77777777" w:rsidR="00B574C9" w:rsidRPr="00812503" w:rsidRDefault="00B574C9" w:rsidP="00812503">
            <w:pPr>
              <w:spacing w:after="0" w:line="240" w:lineRule="auto"/>
            </w:pPr>
            <w:r w:rsidRPr="00812503">
              <w:rPr>
                <w:rStyle w:val="PlaceholderText"/>
              </w:rPr>
              <w:t>[Enter your biography]</w:t>
            </w:r>
          </w:p>
        </w:tc>
      </w:tr>
      <w:tr w:rsidR="00812503" w:rsidRPr="00812503" w14:paraId="4CB1F716" w14:textId="77777777" w:rsidTr="00812503">
        <w:trPr>
          <w:trHeight w:val="986"/>
        </w:trPr>
        <w:tc>
          <w:tcPr>
            <w:tcW w:w="491" w:type="dxa"/>
            <w:vMerge/>
            <w:shd w:val="clear" w:color="auto" w:fill="A6A6A6"/>
          </w:tcPr>
          <w:p w14:paraId="36B6DD74" w14:textId="77777777" w:rsidR="00B574C9" w:rsidRPr="00812503" w:rsidRDefault="00B574C9" w:rsidP="00812503">
            <w:pPr>
              <w:spacing w:after="0" w:line="240" w:lineRule="auto"/>
              <w:jc w:val="center"/>
              <w:rPr>
                <w:b/>
                <w:color w:val="FFFFFF"/>
              </w:rPr>
            </w:pPr>
          </w:p>
        </w:tc>
        <w:tc>
          <w:tcPr>
            <w:tcW w:w="8525" w:type="dxa"/>
            <w:gridSpan w:val="4"/>
            <w:shd w:val="clear" w:color="auto" w:fill="auto"/>
          </w:tcPr>
          <w:p w14:paraId="205A8BCD" w14:textId="77777777" w:rsidR="00B574C9" w:rsidRPr="00812503" w:rsidRDefault="009F2D3F" w:rsidP="00812503">
            <w:pPr>
              <w:spacing w:after="0" w:line="240" w:lineRule="auto"/>
            </w:pPr>
            <w:r>
              <w:t>University of California, Los Angeles</w:t>
            </w:r>
          </w:p>
        </w:tc>
      </w:tr>
    </w:tbl>
    <w:p w14:paraId="6260E8F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12503" w:rsidRPr="00812503" w14:paraId="75C86B31" w14:textId="77777777" w:rsidTr="00812503">
        <w:tc>
          <w:tcPr>
            <w:tcW w:w="9016" w:type="dxa"/>
            <w:shd w:val="clear" w:color="auto" w:fill="A6A6A6"/>
            <w:tcMar>
              <w:top w:w="113" w:type="dxa"/>
              <w:bottom w:w="113" w:type="dxa"/>
            </w:tcMar>
          </w:tcPr>
          <w:p w14:paraId="3AD76EF4" w14:textId="77777777" w:rsidR="00244BB0" w:rsidRPr="00812503" w:rsidRDefault="00244BB0" w:rsidP="00812503">
            <w:pPr>
              <w:spacing w:after="0" w:line="240" w:lineRule="auto"/>
              <w:jc w:val="center"/>
              <w:rPr>
                <w:b/>
                <w:color w:val="FFFFFF"/>
              </w:rPr>
            </w:pPr>
            <w:r w:rsidRPr="00812503">
              <w:rPr>
                <w:b/>
                <w:color w:val="FFFFFF"/>
              </w:rPr>
              <w:t>Your article</w:t>
            </w:r>
          </w:p>
        </w:tc>
      </w:tr>
      <w:tr w:rsidR="003F0D73" w:rsidRPr="00812503" w14:paraId="3B7D42E3" w14:textId="77777777" w:rsidTr="00812503">
        <w:tc>
          <w:tcPr>
            <w:tcW w:w="9016" w:type="dxa"/>
            <w:shd w:val="clear" w:color="auto" w:fill="auto"/>
            <w:tcMar>
              <w:top w:w="113" w:type="dxa"/>
              <w:bottom w:w="113" w:type="dxa"/>
            </w:tcMar>
          </w:tcPr>
          <w:p w14:paraId="24C52DDD" w14:textId="77777777" w:rsidR="003F0D73" w:rsidRPr="00812503" w:rsidRDefault="009F2D3F" w:rsidP="009F2D3F">
            <w:pPr>
              <w:spacing w:after="0" w:line="240" w:lineRule="auto"/>
              <w:rPr>
                <w:b/>
              </w:rPr>
            </w:pPr>
            <w:r>
              <w:t>Renan</w:t>
            </w:r>
            <w:r w:rsidR="00812503">
              <w:t>, Jo</w:t>
            </w:r>
            <w:r>
              <w:t>seph Ernest (28 February 1823–</w:t>
            </w:r>
            <w:r w:rsidR="00812503">
              <w:t>2 October 1892)</w:t>
            </w:r>
          </w:p>
        </w:tc>
      </w:tr>
      <w:tr w:rsidR="00464699" w:rsidRPr="00812503" w14:paraId="5EBB47C5" w14:textId="77777777" w:rsidTr="00812503">
        <w:tc>
          <w:tcPr>
            <w:tcW w:w="9016" w:type="dxa"/>
            <w:shd w:val="clear" w:color="auto" w:fill="auto"/>
            <w:tcMar>
              <w:top w:w="113" w:type="dxa"/>
              <w:bottom w:w="113" w:type="dxa"/>
            </w:tcMar>
          </w:tcPr>
          <w:p w14:paraId="4F7BE2DE" w14:textId="77777777" w:rsidR="00464699" w:rsidRPr="00812503" w:rsidRDefault="00464699" w:rsidP="00812503">
            <w:pPr>
              <w:spacing w:after="0" w:line="240" w:lineRule="auto"/>
            </w:pPr>
            <w:r w:rsidRPr="00812503">
              <w:rPr>
                <w:rStyle w:val="PlaceholderText"/>
                <w:b/>
              </w:rPr>
              <w:t xml:space="preserve">[Enter any </w:t>
            </w:r>
            <w:r w:rsidRPr="00812503">
              <w:rPr>
                <w:rStyle w:val="PlaceholderText"/>
                <w:b/>
                <w:i/>
              </w:rPr>
              <w:t>variant forms</w:t>
            </w:r>
            <w:r w:rsidRPr="00812503">
              <w:rPr>
                <w:rStyle w:val="PlaceholderText"/>
                <w:b/>
              </w:rPr>
              <w:t xml:space="preserve"> of your headword – OPTIONAL]</w:t>
            </w:r>
          </w:p>
        </w:tc>
      </w:tr>
      <w:tr w:rsidR="00E85A05" w:rsidRPr="00812503" w14:paraId="19335707" w14:textId="77777777" w:rsidTr="00812503">
        <w:tc>
          <w:tcPr>
            <w:tcW w:w="9016" w:type="dxa"/>
            <w:shd w:val="clear" w:color="auto" w:fill="auto"/>
            <w:tcMar>
              <w:top w:w="113" w:type="dxa"/>
              <w:bottom w:w="113" w:type="dxa"/>
            </w:tcMar>
          </w:tcPr>
          <w:p w14:paraId="51BD4AB3" w14:textId="77777777" w:rsidR="009F2D3F" w:rsidRDefault="00812503" w:rsidP="009F2D3F">
            <w:pPr>
              <w:spacing w:after="0" w:line="240" w:lineRule="auto"/>
            </w:pPr>
            <w:r>
              <w:t xml:space="preserve">Ernest Renan was a French rationalist philosopher, orientalist, and historian of religion. He was professor of Semitics at the </w:t>
            </w:r>
            <w:proofErr w:type="spellStart"/>
            <w:r>
              <w:t>Collège</w:t>
            </w:r>
            <w:proofErr w:type="spellEnd"/>
            <w:r>
              <w:t xml:space="preserve"> de France. Renan is best known for his influential </w:t>
            </w:r>
            <w:r>
              <w:rPr>
                <w:i/>
              </w:rPr>
              <w:t xml:space="preserve">Vie de </w:t>
            </w:r>
            <w:proofErr w:type="spellStart"/>
            <w:r>
              <w:rPr>
                <w:i/>
              </w:rPr>
              <w:t>Jésus</w:t>
            </w:r>
            <w:proofErr w:type="spellEnd"/>
            <w:r>
              <w:t xml:space="preserve"> (1863), a biography of Jesus written in the tradition of David </w:t>
            </w:r>
            <w:proofErr w:type="spellStart"/>
            <w:r>
              <w:t>Strauß’s</w:t>
            </w:r>
            <w:proofErr w:type="spellEnd"/>
            <w:r>
              <w:t xml:space="preserve"> </w:t>
            </w:r>
            <w:r>
              <w:rPr>
                <w:i/>
              </w:rPr>
              <w:t xml:space="preserve">Das </w:t>
            </w:r>
            <w:proofErr w:type="spellStart"/>
            <w:r>
              <w:rPr>
                <w:i/>
              </w:rPr>
              <w:t>Leben</w:t>
            </w:r>
            <w:proofErr w:type="spellEnd"/>
            <w:r>
              <w:rPr>
                <w:i/>
              </w:rPr>
              <w:t xml:space="preserve"> </w:t>
            </w:r>
            <w:proofErr w:type="spellStart"/>
            <w:r>
              <w:rPr>
                <w:i/>
              </w:rPr>
              <w:t>Jesu</w:t>
            </w:r>
            <w:proofErr w:type="spellEnd"/>
            <w:r w:rsidR="009F2D3F">
              <w:t xml:space="preserve"> (1835–</w:t>
            </w:r>
            <w:r>
              <w:t>1836). Against his Roman Catholic upbringing, Renan disputed the compatibility of history and theology, questioned the divine inspiration of the Bible, precluded the possibility of miracles, and rejected Jesus’s divinity (and Jewishness).</w:t>
            </w:r>
            <w:r w:rsidR="009F2D3F">
              <w:t xml:space="preserve"> </w:t>
            </w:r>
            <w:r w:rsidR="009F2D3F">
              <w:t xml:space="preserve">Although </w:t>
            </w:r>
            <w:r w:rsidR="009F2D3F">
              <w:rPr>
                <w:i/>
              </w:rPr>
              <w:t xml:space="preserve">Vie de </w:t>
            </w:r>
            <w:proofErr w:type="spellStart"/>
            <w:r w:rsidR="009F2D3F">
              <w:rPr>
                <w:i/>
              </w:rPr>
              <w:t>Jésus</w:t>
            </w:r>
            <w:proofErr w:type="spellEnd"/>
            <w:r w:rsidR="009F2D3F">
              <w:t xml:space="preserve"> was immediately criticized for its many unsupported claims and led to a temporary suspension of Renan’s post at the </w:t>
            </w:r>
            <w:proofErr w:type="spellStart"/>
            <w:r w:rsidR="009F2D3F">
              <w:t>Collège</w:t>
            </w:r>
            <w:proofErr w:type="spellEnd"/>
            <w:r w:rsidR="009F2D3F">
              <w:t xml:space="preserve">, its popularity made it a watershed in French intellectual history. </w:t>
            </w:r>
          </w:p>
          <w:p w14:paraId="65E791B6" w14:textId="77777777" w:rsidR="009F2D3F" w:rsidRDefault="009F2D3F" w:rsidP="009F2D3F">
            <w:pPr>
              <w:spacing w:after="0" w:line="240" w:lineRule="auto"/>
            </w:pPr>
          </w:p>
          <w:p w14:paraId="7FCDE767" w14:textId="77777777" w:rsidR="00E85A05" w:rsidRPr="00812503" w:rsidRDefault="009F2D3F" w:rsidP="009F2D3F">
            <w:pPr>
              <w:spacing w:after="0" w:line="240" w:lineRule="auto"/>
            </w:pPr>
            <w:r>
              <w:t xml:space="preserve">Renan’s use of comparative philology to reinforce modern racial stereotypes was also influential. In several publications, including his widely read </w:t>
            </w:r>
            <w:r>
              <w:rPr>
                <w:i/>
              </w:rPr>
              <w:t xml:space="preserve">Histoire du </w:t>
            </w:r>
            <w:proofErr w:type="spellStart"/>
            <w:r>
              <w:rPr>
                <w:i/>
              </w:rPr>
              <w:t>peuple</w:t>
            </w:r>
            <w:proofErr w:type="spellEnd"/>
            <w:r>
              <w:rPr>
                <w:i/>
              </w:rPr>
              <w:t xml:space="preserve"> </w:t>
            </w:r>
            <w:proofErr w:type="spellStart"/>
            <w:r>
              <w:rPr>
                <w:i/>
              </w:rPr>
              <w:t>d’Israël</w:t>
            </w:r>
            <w:proofErr w:type="spellEnd"/>
            <w:r>
              <w:t xml:space="preserve"> (1887–1893), Renan developed a view of the Semitic languages as a singular, static, and underdeveloped linguistic family. The Indo-European (‘Aryan’) languages, by contrast, were presented as manifold and dynamic. For Renan, these alleged linguistic distinctions reflected contemporary racial, cultural, and religious differences. </w:t>
            </w:r>
          </w:p>
        </w:tc>
      </w:tr>
      <w:tr w:rsidR="003F0D73" w:rsidRPr="00812503" w14:paraId="2D3B3200" w14:textId="77777777" w:rsidTr="00812503">
        <w:tc>
          <w:tcPr>
            <w:tcW w:w="9016" w:type="dxa"/>
            <w:shd w:val="clear" w:color="auto" w:fill="auto"/>
            <w:tcMar>
              <w:top w:w="113" w:type="dxa"/>
              <w:bottom w:w="113" w:type="dxa"/>
            </w:tcMar>
          </w:tcPr>
          <w:p w14:paraId="619E5DB7" w14:textId="77777777" w:rsidR="00812503" w:rsidRDefault="00812503" w:rsidP="00812503">
            <w:pPr>
              <w:spacing w:after="0" w:line="240" w:lineRule="auto"/>
            </w:pPr>
            <w:r>
              <w:t xml:space="preserve">Ernest Renan was a French rationalist philosopher, orientalist, and historian of religion. He was professor of Semitics at the </w:t>
            </w:r>
            <w:proofErr w:type="spellStart"/>
            <w:r>
              <w:t>Collège</w:t>
            </w:r>
            <w:proofErr w:type="spellEnd"/>
            <w:r>
              <w:t xml:space="preserve"> de France. Renan is best known for his influential </w:t>
            </w:r>
            <w:r>
              <w:rPr>
                <w:i/>
              </w:rPr>
              <w:t xml:space="preserve">Vie de </w:t>
            </w:r>
            <w:proofErr w:type="spellStart"/>
            <w:r>
              <w:rPr>
                <w:i/>
              </w:rPr>
              <w:t>Jésus</w:t>
            </w:r>
            <w:proofErr w:type="spellEnd"/>
            <w:r>
              <w:t xml:space="preserve"> (1863), a biography of Jesus written in the tradition of David </w:t>
            </w:r>
            <w:proofErr w:type="spellStart"/>
            <w:r>
              <w:t>Strauß’s</w:t>
            </w:r>
            <w:proofErr w:type="spellEnd"/>
            <w:r>
              <w:t xml:space="preserve"> </w:t>
            </w:r>
            <w:r>
              <w:rPr>
                <w:i/>
              </w:rPr>
              <w:t xml:space="preserve">Das </w:t>
            </w:r>
            <w:proofErr w:type="spellStart"/>
            <w:r>
              <w:rPr>
                <w:i/>
              </w:rPr>
              <w:t>Leben</w:t>
            </w:r>
            <w:proofErr w:type="spellEnd"/>
            <w:r>
              <w:rPr>
                <w:i/>
              </w:rPr>
              <w:t xml:space="preserve"> </w:t>
            </w:r>
            <w:proofErr w:type="spellStart"/>
            <w:r>
              <w:rPr>
                <w:i/>
              </w:rPr>
              <w:t>Jesu</w:t>
            </w:r>
            <w:proofErr w:type="spellEnd"/>
            <w:r w:rsidR="009F2D3F">
              <w:t xml:space="preserve"> (1835–</w:t>
            </w:r>
            <w:r>
              <w:t xml:space="preserve">1836). Against his Roman Catholic upbringing, Renan disputed the compatibility of history and theology, questioned the divine inspiration of the Bible, precluded the possibility of miracles, and rejected Jesus’s divinity (and Jewishness). Although </w:t>
            </w:r>
            <w:r>
              <w:rPr>
                <w:i/>
              </w:rPr>
              <w:t xml:space="preserve">Vie de </w:t>
            </w:r>
            <w:proofErr w:type="spellStart"/>
            <w:r>
              <w:rPr>
                <w:i/>
              </w:rPr>
              <w:t>Jésus</w:t>
            </w:r>
            <w:proofErr w:type="spellEnd"/>
            <w:r>
              <w:t xml:space="preserve"> was immediately criticized for its many unsupported claims and led to a temporary suspension of Renan’s post at the </w:t>
            </w:r>
            <w:proofErr w:type="spellStart"/>
            <w:r>
              <w:t>Collège</w:t>
            </w:r>
            <w:proofErr w:type="spellEnd"/>
            <w:r>
              <w:t xml:space="preserve">, its popularity made it a watershed in French intellectual history. </w:t>
            </w:r>
          </w:p>
          <w:p w14:paraId="137E1BD6" w14:textId="77777777" w:rsidR="00812503" w:rsidRDefault="00812503" w:rsidP="00812503">
            <w:pPr>
              <w:spacing w:after="0" w:line="240" w:lineRule="auto"/>
            </w:pPr>
          </w:p>
          <w:p w14:paraId="67FE98DD" w14:textId="77777777" w:rsidR="003F0D73" w:rsidRPr="00812503" w:rsidRDefault="00812503" w:rsidP="00812503">
            <w:pPr>
              <w:spacing w:after="0" w:line="240" w:lineRule="auto"/>
            </w:pPr>
            <w:r>
              <w:t xml:space="preserve">Renan’s use of comparative philology to reinforce modern racial stereotypes was also influential. In several publications, including his widely read </w:t>
            </w:r>
            <w:r>
              <w:rPr>
                <w:i/>
              </w:rPr>
              <w:t xml:space="preserve">Histoire du </w:t>
            </w:r>
            <w:proofErr w:type="spellStart"/>
            <w:r>
              <w:rPr>
                <w:i/>
              </w:rPr>
              <w:t>peuple</w:t>
            </w:r>
            <w:proofErr w:type="spellEnd"/>
            <w:r>
              <w:rPr>
                <w:i/>
              </w:rPr>
              <w:t xml:space="preserve"> </w:t>
            </w:r>
            <w:proofErr w:type="spellStart"/>
            <w:r>
              <w:rPr>
                <w:i/>
              </w:rPr>
              <w:t>d’Israël</w:t>
            </w:r>
            <w:proofErr w:type="spellEnd"/>
            <w:r w:rsidR="009F2D3F">
              <w:t xml:space="preserve"> (1887–</w:t>
            </w:r>
            <w:r>
              <w:t>1893), Renan developed a view of the Semitic languages as a singular, static, and underdeveloped linguistic family. The Indo-European (‘Aryan’) languages, by contrast, were presented as manifold and dynamic. For Renan, these alleged linguistic distinctions reflected contemporary racial, cultural, and religious differences. The rigidity of the Semitic languages corresponded to the strict monotheism that had stunted Jewish progress, whereas the multiplicity and richness of the Indo-European languages aligned with the complex ‘Aryan’ culture that eventually developed into the robust intellectual world of Europe.</w:t>
            </w:r>
          </w:p>
        </w:tc>
      </w:tr>
      <w:tr w:rsidR="003235A7" w:rsidRPr="00812503" w14:paraId="72C2014B" w14:textId="77777777" w:rsidTr="00812503">
        <w:tc>
          <w:tcPr>
            <w:tcW w:w="9016" w:type="dxa"/>
            <w:shd w:val="clear" w:color="auto" w:fill="auto"/>
          </w:tcPr>
          <w:p w14:paraId="52F9EA10" w14:textId="77777777" w:rsidR="003235A7" w:rsidRDefault="003235A7" w:rsidP="00812503">
            <w:pPr>
              <w:spacing w:after="0" w:line="240" w:lineRule="auto"/>
            </w:pPr>
            <w:r w:rsidRPr="00812503">
              <w:rPr>
                <w:u w:val="single"/>
              </w:rPr>
              <w:t>Further reading</w:t>
            </w:r>
            <w:r w:rsidRPr="00812503">
              <w:t>:</w:t>
            </w:r>
          </w:p>
          <w:p w14:paraId="58954D44" w14:textId="77777777" w:rsidR="003235A7" w:rsidRPr="00812503" w:rsidRDefault="009F2D3F" w:rsidP="004753D9">
            <w:pPr>
              <w:spacing w:after="0" w:line="240" w:lineRule="auto"/>
            </w:pPr>
            <w:sdt>
              <w:sdtPr>
                <w:id w:val="381521436"/>
                <w:citation/>
              </w:sdtPr>
              <w:sdtEndPr/>
              <w:sdtContent>
                <w:bookmarkStart w:id="0" w:name="_GoBack"/>
                <w:r w:rsidR="004753D9">
                  <w:fldChar w:fldCharType="begin"/>
                </w:r>
                <w:r>
                  <w:rPr>
                    <w:lang w:val="en-CA"/>
                  </w:rPr>
                  <w:instrText xml:space="preserve">CITATION Gir23 \l 4105 </w:instrText>
                </w:r>
                <w:r w:rsidR="004753D9">
                  <w:fldChar w:fldCharType="separate"/>
                </w:r>
                <w:r w:rsidRPr="009F2D3F">
                  <w:rPr>
                    <w:noProof/>
                    <w:lang w:val="en-CA"/>
                  </w:rPr>
                  <w:t>(Girard and Moncel)</w:t>
                </w:r>
                <w:r w:rsidR="004753D9">
                  <w:fldChar w:fldCharType="end"/>
                </w:r>
                <w:bookmarkEnd w:id="0"/>
              </w:sdtContent>
            </w:sdt>
          </w:p>
        </w:tc>
      </w:tr>
    </w:tbl>
    <w:p w14:paraId="17B881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ECC30" w14:textId="77777777" w:rsidR="001E2AE6" w:rsidRDefault="001E2AE6" w:rsidP="007A0D55">
      <w:pPr>
        <w:spacing w:after="0" w:line="240" w:lineRule="auto"/>
      </w:pPr>
      <w:r>
        <w:separator/>
      </w:r>
    </w:p>
  </w:endnote>
  <w:endnote w:type="continuationSeparator" w:id="0">
    <w:p w14:paraId="027C58E9" w14:textId="77777777" w:rsidR="001E2AE6" w:rsidRDefault="001E2A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B8B4B" w14:textId="77777777" w:rsidR="001E2AE6" w:rsidRDefault="001E2AE6" w:rsidP="007A0D55">
      <w:pPr>
        <w:spacing w:after="0" w:line="240" w:lineRule="auto"/>
      </w:pPr>
      <w:r>
        <w:separator/>
      </w:r>
    </w:p>
  </w:footnote>
  <w:footnote w:type="continuationSeparator" w:id="0">
    <w:p w14:paraId="582CE31B" w14:textId="77777777" w:rsidR="001E2AE6" w:rsidRDefault="001E2A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741AA" w14:textId="77777777" w:rsidR="007A0D55" w:rsidRDefault="007A0D55">
    <w:pPr>
      <w:pStyle w:val="Header"/>
    </w:pPr>
    <w:r w:rsidRPr="00812503">
      <w:rPr>
        <w:b/>
        <w:color w:val="7F7F7F"/>
      </w:rPr>
      <w:t>Taylor &amp; Francis</w:t>
    </w:r>
    <w:r w:rsidRPr="00812503">
      <w:rPr>
        <w:color w:val="7F7F7F"/>
      </w:rPr>
      <w:t xml:space="preserve"> – </w:t>
    </w:r>
    <w:proofErr w:type="spellStart"/>
    <w:r w:rsidRPr="00812503">
      <w:rPr>
        <w:i/>
        <w:color w:val="7F7F7F"/>
      </w:rPr>
      <w:t>Encyclopedia</w:t>
    </w:r>
    <w:proofErr w:type="spellEnd"/>
    <w:r w:rsidRPr="00812503">
      <w:rPr>
        <w:i/>
        <w:color w:val="7F7F7F"/>
      </w:rPr>
      <w:t xml:space="preserve"> of Modernism</w:t>
    </w:r>
  </w:p>
  <w:p w14:paraId="523F06E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03"/>
    <w:rsid w:val="00032559"/>
    <w:rsid w:val="00052040"/>
    <w:rsid w:val="000B25AE"/>
    <w:rsid w:val="000B55AB"/>
    <w:rsid w:val="000D24DC"/>
    <w:rsid w:val="00101B2E"/>
    <w:rsid w:val="00116FA0"/>
    <w:rsid w:val="0015114C"/>
    <w:rsid w:val="001A21F3"/>
    <w:rsid w:val="001A2537"/>
    <w:rsid w:val="001A6A06"/>
    <w:rsid w:val="001E2AE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53D9"/>
    <w:rsid w:val="00483379"/>
    <w:rsid w:val="0048562C"/>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2503"/>
    <w:rsid w:val="00821DE3"/>
    <w:rsid w:val="00846CE1"/>
    <w:rsid w:val="008A5B87"/>
    <w:rsid w:val="00922950"/>
    <w:rsid w:val="009A7264"/>
    <w:rsid w:val="009D1606"/>
    <w:rsid w:val="009E18A1"/>
    <w:rsid w:val="009E73D7"/>
    <w:rsid w:val="009F2D3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B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2D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D3F"/>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2D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D3F"/>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7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Gir23</b:Tag>
    <b:SourceType>Book</b:SourceType>
    <b:Guid>{A5AEBB3D-0BB0-4C4B-8900-ED506943B53D}</b:Guid>
    <b:Title>Bibliographie des oeuvres de Ernest Renan</b:Title>
    <b:Year>1923</b:Year>
    <b:Author>
      <b:Author>
        <b:NameList>
          <b:Person>
            <b:Last>Girard</b:Last>
            <b:First>Henri</b:First>
          </b:Person>
          <b:Person>
            <b:Last>Moncel</b:Last>
            <b:First>Henri</b:First>
          </b:Person>
        </b:NameList>
      </b:Author>
    </b:Author>
    <b:City>Paris</b:City>
    <b:Publisher>Les Presses Universitaires de France</b:Publisher>
    <b:RefOrder>1</b:RefOrder>
  </b:Source>
</b:Sources>
</file>

<file path=customXml/itemProps1.xml><?xml version="1.0" encoding="utf-8"?>
<ds:datastoreItem xmlns:ds="http://schemas.openxmlformats.org/officeDocument/2006/customXml" ds:itemID="{6B55AB99-E8F0-604F-9264-D80E53C6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7</TotalTime>
  <Pages>2</Pages>
  <Words>464</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3</cp:revision>
  <dcterms:created xsi:type="dcterms:W3CDTF">2016-04-05T22:56:00Z</dcterms:created>
  <dcterms:modified xsi:type="dcterms:W3CDTF">2016-04-21T04:44:00Z</dcterms:modified>
</cp:coreProperties>
</file>