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602C86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D92F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532DBAD7EE0749B56A6469BF6ED0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DFA314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E0657A31A434A894E92AA521DCA56"/>
            </w:placeholder>
            <w:text/>
          </w:sdtPr>
          <w:sdtEndPr/>
          <w:sdtContent>
            <w:tc>
              <w:tcPr>
                <w:tcW w:w="2073" w:type="dxa"/>
              </w:tcPr>
              <w:p w14:paraId="4240BF91" w14:textId="77777777" w:rsidR="00B574C9" w:rsidRDefault="00494F0F" w:rsidP="00494F0F">
                <w:r>
                  <w:t>Jed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300D7D5F53054583E49772360218B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01EA8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3D13660DEC8F4FAF38B426F5908FAE"/>
            </w:placeholder>
            <w:text/>
          </w:sdtPr>
          <w:sdtEndPr/>
          <w:sdtContent>
            <w:tc>
              <w:tcPr>
                <w:tcW w:w="2642" w:type="dxa"/>
              </w:tcPr>
              <w:p w14:paraId="69900AFF" w14:textId="77777777" w:rsidR="00B574C9" w:rsidRDefault="00494F0F" w:rsidP="00494F0F">
                <w:proofErr w:type="spellStart"/>
                <w:r>
                  <w:t>Rasula</w:t>
                </w:r>
                <w:proofErr w:type="spellEnd"/>
              </w:p>
            </w:tc>
          </w:sdtContent>
        </w:sdt>
      </w:tr>
      <w:tr w:rsidR="00B574C9" w14:paraId="388FD3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CFFE1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5442254D19CFE4EB61B6C34982DA8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D53F2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3B8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AD99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A2E384A768784D852308DB8366B29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EE35B8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2D6D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EF6FC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CA321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F5CE09" w14:textId="77777777" w:rsidTr="003F0D73">
        <w:sdt>
          <w:sdtPr>
            <w:alias w:val="Article headword"/>
            <w:tag w:val="articleHeadword"/>
            <w:id w:val="-361440020"/>
            <w:placeholder>
              <w:docPart w:val="F6B8621F5C82DE45BCA9D435DFC772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A0B2BC" w14:textId="77777777" w:rsidR="003F0D73" w:rsidRPr="00FB589A" w:rsidRDefault="00494F0F" w:rsidP="003F0D73">
                <w:pPr>
                  <w:rPr>
                    <w:b/>
                  </w:rPr>
                </w:pPr>
                <w:r w:rsidRPr="00494F0F">
                  <w:rPr>
                    <w:lang w:val="en-US"/>
                  </w:rPr>
                  <w:t>The Jazz Age</w:t>
                </w:r>
              </w:p>
            </w:tc>
          </w:sdtContent>
        </w:sdt>
      </w:tr>
      <w:tr w:rsidR="00464699" w14:paraId="36A77979" w14:textId="77777777" w:rsidTr="007821B0">
        <w:sdt>
          <w:sdtPr>
            <w:alias w:val="Variant headwords"/>
            <w:tag w:val="variantHeadwords"/>
            <w:id w:val="173464402"/>
            <w:placeholder>
              <w:docPart w:val="605D8BC7D480F54E9811D15ABF1D18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EDEC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FEF7CE8" w14:textId="77777777" w:rsidTr="003F0D73">
        <w:sdt>
          <w:sdtPr>
            <w:alias w:val="Abstract"/>
            <w:tag w:val="abstract"/>
            <w:id w:val="-635871867"/>
            <w:placeholder>
              <w:docPart w:val="9C67419908DCEB4390D206F36629932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EBD8F8" w14:textId="52D8BD86" w:rsidR="00E85A05" w:rsidRDefault="00704A0B" w:rsidP="00704A0B">
                <w:r>
                  <w:t>The name of The Jazz Age</w:t>
                </w:r>
                <w:r w:rsidR="00494F0F">
                  <w:t xml:space="preserve"> age </w:t>
                </w:r>
                <w:r>
                  <w:t>derives</w:t>
                </w:r>
                <w:r w:rsidR="00494F0F">
                  <w:t xml:space="preserve"> from F. Scott Fitzgerald, whose fame as a writer was affixed to the generic vista named in </w:t>
                </w:r>
                <w:r w:rsidR="00494F0F">
                  <w:rPr>
                    <w:i/>
                  </w:rPr>
                  <w:t>Tales of the Jazz Age</w:t>
                </w:r>
                <w:r w:rsidR="00494F0F">
                  <w:t xml:space="preserve"> (1922). Historians of jazz have been leery of the expression, and rarely even refer to Fitzgerald, who</w:t>
                </w:r>
                <w:r w:rsidR="00494F0F" w:rsidRPr="001F2425">
                  <w:t xml:space="preserve"> emphasised</w:t>
                </w:r>
                <w:r w:rsidR="00494F0F">
                  <w:t xml:space="preserve"> the </w:t>
                </w:r>
                <w:r w:rsidR="00494F0F">
                  <w:rPr>
                    <w:i/>
                  </w:rPr>
                  <w:t>age</w:t>
                </w:r>
                <w:r w:rsidR="00494F0F">
                  <w:t xml:space="preserve">, not the </w:t>
                </w:r>
                <w:r>
                  <w:t>‘</w:t>
                </w:r>
                <w:r w:rsidR="00494F0F">
                  <w:t>jazz</w:t>
                </w:r>
                <w:bookmarkStart w:id="0" w:name="_GoBack"/>
                <w:r>
                  <w:t>’.</w:t>
                </w:r>
                <w:bookmarkEnd w:id="0"/>
                <w:r w:rsidR="00494F0F">
                  <w:t xml:space="preserve"> As a period term, the jazz age has conformed fairly closely to the parameters set by Fitzgerald in a letter to Maxwell Perkins in 1931, extending </w:t>
                </w:r>
                <w:r>
                  <w:t>‘</w:t>
                </w:r>
                <w:commentRangeStart w:id="1"/>
                <w:r w:rsidR="00494F0F">
                  <w:t>from the suppression of the riots of May Day 1919 to the crash of the stock market in 1929</w:t>
                </w:r>
                <w:r>
                  <w:t>’.</w:t>
                </w:r>
                <w:r w:rsidR="00494F0F">
                  <w:t xml:space="preserve"> 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 w:rsidR="00494F0F">
                  <w:t xml:space="preserve">It has been understandably consigned to the </w:t>
                </w:r>
                <w:r>
                  <w:t>‘</w:t>
                </w:r>
                <w:r w:rsidR="00494F0F">
                  <w:t>lost generation</w:t>
                </w:r>
                <w:r>
                  <w:t>’</w:t>
                </w:r>
                <w:r w:rsidR="00494F0F">
                  <w:t xml:space="preserve"> of expatriate American writers, as Gertrude Stein identified them to Hemingway. The mid-century eminence of fiction by Fitzgerald and Hemingway</w:t>
                </w:r>
                <w:r>
                  <w:t xml:space="preserve"> </w:t>
                </w:r>
                <w:r w:rsidR="00494F0F">
                  <w:t>—</w:t>
                </w:r>
                <w:r>
                  <w:t xml:space="preserve"> </w:t>
                </w:r>
                <w:r w:rsidR="00494F0F">
                  <w:t>filled with hard-drinking characters lurching through life as an endless party</w:t>
                </w:r>
                <w:r>
                  <w:t xml:space="preserve"> </w:t>
                </w:r>
                <w:r w:rsidR="00494F0F" w:rsidRPr="001F2425">
                  <w:t>—</w:t>
                </w:r>
                <w:r>
                  <w:t xml:space="preserve"> </w:t>
                </w:r>
                <w:r w:rsidR="00494F0F" w:rsidRPr="001F2425">
                  <w:t>canonised</w:t>
                </w:r>
                <w:r w:rsidR="00494F0F">
                  <w:t xml:space="preserve"> the jazz age as an alcoholic binge contemporaneous with prohibition. The annals of jazz history confirm the diagnosis, most famously in the case of trumpeter</w:t>
                </w:r>
                <w:r w:rsidR="00494F0F" w:rsidRPr="00CF53E0">
                  <w:t xml:space="preserve"> </w:t>
                </w:r>
                <w:proofErr w:type="spellStart"/>
                <w:r w:rsidR="00494F0F" w:rsidRPr="00CF53E0">
                  <w:t>Bix</w:t>
                </w:r>
                <w:proofErr w:type="spellEnd"/>
                <w:r w:rsidR="00494F0F">
                  <w:t xml:space="preserve"> Beiderbecke. Frederick Turner’s novel </w:t>
                </w:r>
                <w:r w:rsidR="00494F0F">
                  <w:rPr>
                    <w:i/>
                  </w:rPr>
                  <w:t>1929</w:t>
                </w:r>
                <w:r>
                  <w:t xml:space="preserve"> (2003</w:t>
                </w:r>
                <w:r w:rsidR="00494F0F">
                  <w:t xml:space="preserve">) is a vivid depiction of the alcoholic haze </w:t>
                </w:r>
                <w:proofErr w:type="spellStart"/>
                <w:r w:rsidR="00494F0F">
                  <w:t>Bix</w:t>
                </w:r>
                <w:proofErr w:type="spellEnd"/>
                <w:r w:rsidR="00494F0F">
                  <w:t xml:space="preserve"> shared with his </w:t>
                </w:r>
                <w:r>
                  <w:t>‘</w:t>
                </w:r>
                <w:r w:rsidR="00494F0F">
                  <w:t>age</w:t>
                </w:r>
                <w:r>
                  <w:t>’.</w:t>
                </w:r>
                <w:r w:rsidR="00494F0F">
                  <w:t xml:space="preserve"> </w:t>
                </w:r>
                <w:r w:rsidR="00494F0F">
                  <w:rPr>
                    <w:i/>
                  </w:rPr>
                  <w:t>1929</w:t>
                </w:r>
                <w:r w:rsidR="00494F0F">
                  <w:t xml:space="preserve"> reveals by contrast that actual </w:t>
                </w:r>
                <w:r>
                  <w:t>‘</w:t>
                </w:r>
                <w:r w:rsidR="00494F0F">
                  <w:t>jazz age</w:t>
                </w:r>
                <w:r>
                  <w:t>’</w:t>
                </w:r>
                <w:r w:rsidR="00494F0F">
                  <w:t xml:space="preserve"> novels consigned jazz to a strictly subordinate role, background music at best.</w:t>
                </w:r>
              </w:p>
            </w:tc>
          </w:sdtContent>
        </w:sdt>
      </w:tr>
      <w:tr w:rsidR="00704A0B" w14:paraId="20E17A62" w14:textId="77777777" w:rsidTr="003F0D73">
        <w:sdt>
          <w:sdtPr>
            <w:alias w:val="Abstract"/>
            <w:tag w:val="abstract"/>
            <w:id w:val="-1172866724"/>
            <w:placeholder>
              <w:docPart w:val="29521403104A574B8F3607DA9EF2672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89E34B" w14:textId="49C440C7" w:rsidR="00704A0B" w:rsidRDefault="00704A0B" w:rsidP="00494F0F">
                <w:r>
                  <w:t xml:space="preserve">The name of The Jazz Age </w:t>
                </w:r>
                <w:proofErr w:type="spellStart"/>
                <w:r>
                  <w:t>age</w:t>
                </w:r>
                <w:proofErr w:type="spellEnd"/>
                <w:r>
                  <w:t xml:space="preserve"> is one of the few aspects of the famous time it designates that can be traced with certainty, deriving as it does from F. Scott Fitzgerald, whose fame as a writer was affixed to the generic vista named in </w:t>
                </w:r>
                <w:r>
                  <w:rPr>
                    <w:i/>
                  </w:rPr>
                  <w:t>Tales of the Jazz Age</w:t>
                </w:r>
                <w:r>
                  <w:t xml:space="preserve"> (1922). Historians of jazz have been leery of the expression, and rarely even refer to Fitzgerald, who</w:t>
                </w:r>
                <w:r w:rsidRPr="001F2425">
                  <w:t xml:space="preserve"> emphasised</w:t>
                </w:r>
                <w:r>
                  <w:t xml:space="preserve"> the </w:t>
                </w:r>
                <w:r>
                  <w:rPr>
                    <w:i/>
                  </w:rPr>
                  <w:t>age</w:t>
                </w:r>
                <w:r>
                  <w:t xml:space="preserve">, not the </w:t>
                </w:r>
                <w:r>
                  <w:t>‘</w:t>
                </w:r>
                <w:r>
                  <w:t>jazz</w:t>
                </w:r>
                <w:r>
                  <w:t>’.</w:t>
                </w:r>
                <w:r>
                  <w:t xml:space="preserve"> As a period term, the jazz age has conformed fairly closely to the parameters set by Fitzgerald in a letter to Maxwell Perkins in 1931, extending </w:t>
                </w:r>
                <w:r>
                  <w:t>‘</w:t>
                </w:r>
                <w:commentRangeStart w:id="2"/>
                <w:r>
                  <w:t>from the suppression of the riots of May Day 1919 to the crash of the stock market in 1929</w:t>
                </w:r>
                <w:r>
                  <w:t>’.</w:t>
                </w:r>
                <w:r>
                  <w:t xml:space="preserve"> 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  <w:r>
                  <w:t xml:space="preserve">It has been understandably consigned to the </w:t>
                </w:r>
                <w:r>
                  <w:t>‘</w:t>
                </w:r>
                <w:r>
                  <w:t>lost generation</w:t>
                </w:r>
                <w:r>
                  <w:t>’</w:t>
                </w:r>
                <w:r>
                  <w:t xml:space="preserve"> of expatriate American writers, as Gertrude Stein identified them to Hemingway. The mid-century eminence of fiction by Fitzgerald and Hemingway — filled with hard-drinking characters lurching through life as an endless party </w:t>
                </w:r>
                <w:r w:rsidRPr="001F2425">
                  <w:t>—</w:t>
                </w:r>
                <w:r>
                  <w:t xml:space="preserve"> </w:t>
                </w:r>
                <w:r w:rsidRPr="001F2425">
                  <w:t>canonised</w:t>
                </w:r>
                <w:r>
                  <w:t xml:space="preserve"> the jazz age as an alcoholic binge contemporaneous with prohibition. The annals of jazz history confirm the diagnosis, most famously in the case of trumpeter</w:t>
                </w:r>
                <w:r w:rsidRPr="00CF53E0">
                  <w:t xml:space="preserve"> </w:t>
                </w:r>
                <w:proofErr w:type="spellStart"/>
                <w:r w:rsidRPr="00CF53E0">
                  <w:t>Bix</w:t>
                </w:r>
                <w:proofErr w:type="spellEnd"/>
                <w:r>
                  <w:t xml:space="preserve"> Beiderbecke. Frederick Turner’s novel </w:t>
                </w:r>
                <w:r>
                  <w:rPr>
                    <w:i/>
                  </w:rPr>
                  <w:t>1929</w:t>
                </w:r>
                <w:r>
                  <w:t xml:space="preserve"> (2003) is a vivid depiction of the alcoholic haze </w:t>
                </w:r>
                <w:proofErr w:type="spellStart"/>
                <w:r>
                  <w:t>Bix</w:t>
                </w:r>
                <w:proofErr w:type="spellEnd"/>
                <w:r>
                  <w:t xml:space="preserve"> shared with his </w:t>
                </w:r>
                <w:r>
                  <w:t>‘</w:t>
                </w:r>
                <w:r>
                  <w:t>age</w:t>
                </w:r>
                <w:r>
                  <w:t>’.</w:t>
                </w:r>
                <w:r>
                  <w:t xml:space="preserve"> </w:t>
                </w:r>
                <w:r>
                  <w:rPr>
                    <w:i/>
                  </w:rPr>
                  <w:t>1929</w:t>
                </w:r>
                <w:r>
                  <w:t xml:space="preserve"> reveals by contrast that actual </w:t>
                </w:r>
                <w:r>
                  <w:t>‘</w:t>
                </w:r>
                <w:r>
                  <w:t>jazz age</w:t>
                </w:r>
                <w:r>
                  <w:t>’</w:t>
                </w:r>
                <w:r>
                  <w:t xml:space="preserve"> novels consigned jazz to a strictly subordinate role, background music at best.</w:t>
                </w:r>
              </w:p>
            </w:tc>
          </w:sdtContent>
        </w:sdt>
      </w:tr>
      <w:tr w:rsidR="00704A0B" w14:paraId="73FD9B6E" w14:textId="77777777" w:rsidTr="003235A7">
        <w:tc>
          <w:tcPr>
            <w:tcW w:w="9016" w:type="dxa"/>
          </w:tcPr>
          <w:p w14:paraId="0520B5AE" w14:textId="77777777" w:rsidR="00704A0B" w:rsidRDefault="00704A0B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79FB34075AA44A9AB14DA6D9BE1A56"/>
              </w:placeholder>
            </w:sdtPr>
            <w:sdtContent>
              <w:p w14:paraId="52E690E7" w14:textId="77777777" w:rsidR="00704A0B" w:rsidRDefault="00704A0B" w:rsidP="00494F0F"/>
              <w:p w14:paraId="7251CCB3" w14:textId="77777777" w:rsidR="00704A0B" w:rsidRDefault="00704A0B" w:rsidP="00494F0F">
                <w:sdt>
                  <w:sdtPr>
                    <w:id w:val="-12521114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Fit45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(Fitzgerald)</w:t>
                    </w:r>
                    <w:r>
                      <w:fldChar w:fldCharType="end"/>
                    </w:r>
                  </w:sdtContent>
                </w:sdt>
              </w:p>
              <w:p w14:paraId="4726E69D" w14:textId="77777777" w:rsidR="00704A0B" w:rsidRDefault="00704A0B" w:rsidP="00494F0F"/>
              <w:p w14:paraId="3A69EAFB" w14:textId="77777777" w:rsidR="00704A0B" w:rsidRDefault="00704A0B" w:rsidP="00494F0F">
                <w:sdt>
                  <w:sdtPr>
                    <w:id w:val="-7828036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Koe02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(Koenig)</w:t>
                    </w:r>
                    <w:r>
                      <w:fldChar w:fldCharType="end"/>
                    </w:r>
                  </w:sdtContent>
                </w:sdt>
              </w:p>
              <w:p w14:paraId="0C685FC6" w14:textId="77777777" w:rsidR="00704A0B" w:rsidRDefault="00704A0B" w:rsidP="00494F0F"/>
              <w:p w14:paraId="1B2EF870" w14:textId="77777777" w:rsidR="00704A0B" w:rsidRDefault="00704A0B" w:rsidP="00494F0F">
                <w:sdt>
                  <w:sdtPr>
                    <w:id w:val="-8713099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Ras06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(Rasula)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340B46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3-09T22:14:00Z" w:initials="CW">
    <w:p w14:paraId="5598C788" w14:textId="01489ADF" w:rsidR="00704A0B" w:rsidRDefault="00704A0B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2" w:author="Caroline Winter" w:date="2016-03-09T22:14:00Z" w:initials="CW">
    <w:p w14:paraId="46AB0E61" w14:textId="77777777" w:rsidR="00704A0B" w:rsidRDefault="00704A0B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846B3" w14:textId="77777777" w:rsidR="00AC0B7E" w:rsidRDefault="00AC0B7E" w:rsidP="007A0D55">
      <w:pPr>
        <w:spacing w:after="0" w:line="240" w:lineRule="auto"/>
      </w:pPr>
      <w:r>
        <w:separator/>
      </w:r>
    </w:p>
  </w:endnote>
  <w:endnote w:type="continuationSeparator" w:id="0">
    <w:p w14:paraId="246A3562" w14:textId="77777777" w:rsidR="00AC0B7E" w:rsidRDefault="00AC0B7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50352" w14:textId="77777777" w:rsidR="00AC0B7E" w:rsidRDefault="00AC0B7E" w:rsidP="007A0D55">
      <w:pPr>
        <w:spacing w:after="0" w:line="240" w:lineRule="auto"/>
      </w:pPr>
      <w:r>
        <w:separator/>
      </w:r>
    </w:p>
  </w:footnote>
  <w:footnote w:type="continuationSeparator" w:id="0">
    <w:p w14:paraId="546F2FAB" w14:textId="77777777" w:rsidR="00AC0B7E" w:rsidRDefault="00AC0B7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A8D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E197A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7E"/>
    <w:rsid w:val="00032559"/>
    <w:rsid w:val="00052040"/>
    <w:rsid w:val="00084C4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4F0F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4A0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0B7E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B5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B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7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4C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4C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4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4C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B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7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4C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4C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4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4C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532DBAD7EE0749B56A6469BF6E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7BC5C-F5DB-2C4C-AC26-4C357EDB4AC7}"/>
      </w:docPartPr>
      <w:docPartBody>
        <w:p w:rsidR="000E50F0" w:rsidRDefault="000E50F0">
          <w:pPr>
            <w:pStyle w:val="AA532DBAD7EE0749B56A6469BF6ED0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E0657A31A434A894E92AA521DC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58FE-FB3F-404C-BCEC-BDD7C80510CC}"/>
      </w:docPartPr>
      <w:docPartBody>
        <w:p w:rsidR="000E50F0" w:rsidRDefault="000E50F0">
          <w:pPr>
            <w:pStyle w:val="D09E0657A31A434A894E92AA521DCA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300D7D5F53054583E497723602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6CDC-12A4-C64C-BD5B-330C3D263E17}"/>
      </w:docPartPr>
      <w:docPartBody>
        <w:p w:rsidR="000E50F0" w:rsidRDefault="000E50F0">
          <w:pPr>
            <w:pStyle w:val="97300D7D5F53054583E49772360218B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3D13660DEC8F4FAF38B426F590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C8D9-D48C-1247-AD95-537B2BA240F9}"/>
      </w:docPartPr>
      <w:docPartBody>
        <w:p w:rsidR="000E50F0" w:rsidRDefault="000E50F0">
          <w:pPr>
            <w:pStyle w:val="B43D13660DEC8F4FAF38B426F5908F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5442254D19CFE4EB61B6C34982DA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E7F62-73A0-6B44-ABC2-4D5BD483F4D5}"/>
      </w:docPartPr>
      <w:docPartBody>
        <w:p w:rsidR="000E50F0" w:rsidRDefault="000E50F0">
          <w:pPr>
            <w:pStyle w:val="B5442254D19CFE4EB61B6C34982DA8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A2E384A768784D852308DB8366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F8614-D5AD-984B-B8A0-A023FA8E265F}"/>
      </w:docPartPr>
      <w:docPartBody>
        <w:p w:rsidR="000E50F0" w:rsidRDefault="000E50F0">
          <w:pPr>
            <w:pStyle w:val="ADA2E384A768784D852308DB8366B2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6B8621F5C82DE45BCA9D435DFC7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F70-CA12-3E4A-A80C-7048B0C88369}"/>
      </w:docPartPr>
      <w:docPartBody>
        <w:p w:rsidR="000E50F0" w:rsidRDefault="000E50F0">
          <w:pPr>
            <w:pStyle w:val="F6B8621F5C82DE45BCA9D435DFC772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5D8BC7D480F54E9811D15ABF1D1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D5B53-71CE-6448-A2E7-703F7B1AF7A9}"/>
      </w:docPartPr>
      <w:docPartBody>
        <w:p w:rsidR="000E50F0" w:rsidRDefault="000E50F0">
          <w:pPr>
            <w:pStyle w:val="605D8BC7D480F54E9811D15ABF1D18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67419908DCEB4390D206F366299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8E05-51B4-A949-BAEC-511615FF1FBB}"/>
      </w:docPartPr>
      <w:docPartBody>
        <w:p w:rsidR="000E50F0" w:rsidRDefault="000E50F0">
          <w:pPr>
            <w:pStyle w:val="9C67419908DCEB4390D206F3662993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521403104A574B8F3607DA9EF26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DCFE-0B6A-E148-8F99-A46F9C76262B}"/>
      </w:docPartPr>
      <w:docPartBody>
        <w:p w:rsidR="00000000" w:rsidRDefault="000E50F0" w:rsidP="000E50F0">
          <w:pPr>
            <w:pStyle w:val="29521403104A574B8F3607DA9EF267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79FB34075AA44A9AB14DA6D9BE1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A8A61-4A57-A04F-9255-865AA0F8B5FC}"/>
      </w:docPartPr>
      <w:docPartBody>
        <w:p w:rsidR="00000000" w:rsidRDefault="000E50F0" w:rsidP="000E50F0">
          <w:pPr>
            <w:pStyle w:val="5779FB34075AA44A9AB14DA6D9BE1A5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F0"/>
    <w:rsid w:val="000E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0F0"/>
    <w:rPr>
      <w:color w:val="808080"/>
    </w:rPr>
  </w:style>
  <w:style w:type="paragraph" w:customStyle="1" w:styleId="AA532DBAD7EE0749B56A6469BF6ED0E2">
    <w:name w:val="AA532DBAD7EE0749B56A6469BF6ED0E2"/>
  </w:style>
  <w:style w:type="paragraph" w:customStyle="1" w:styleId="D09E0657A31A434A894E92AA521DCA56">
    <w:name w:val="D09E0657A31A434A894E92AA521DCA56"/>
  </w:style>
  <w:style w:type="paragraph" w:customStyle="1" w:styleId="97300D7D5F53054583E49772360218B6">
    <w:name w:val="97300D7D5F53054583E49772360218B6"/>
  </w:style>
  <w:style w:type="paragraph" w:customStyle="1" w:styleId="B43D13660DEC8F4FAF38B426F5908FAE">
    <w:name w:val="B43D13660DEC8F4FAF38B426F5908FAE"/>
  </w:style>
  <w:style w:type="paragraph" w:customStyle="1" w:styleId="B5442254D19CFE4EB61B6C34982DA8B2">
    <w:name w:val="B5442254D19CFE4EB61B6C34982DA8B2"/>
  </w:style>
  <w:style w:type="paragraph" w:customStyle="1" w:styleId="ADA2E384A768784D852308DB8366B293">
    <w:name w:val="ADA2E384A768784D852308DB8366B293"/>
  </w:style>
  <w:style w:type="paragraph" w:customStyle="1" w:styleId="F6B8621F5C82DE45BCA9D435DFC772C4">
    <w:name w:val="F6B8621F5C82DE45BCA9D435DFC772C4"/>
  </w:style>
  <w:style w:type="paragraph" w:customStyle="1" w:styleId="605D8BC7D480F54E9811D15ABF1D18A2">
    <w:name w:val="605D8BC7D480F54E9811D15ABF1D18A2"/>
  </w:style>
  <w:style w:type="paragraph" w:customStyle="1" w:styleId="9C67419908DCEB4390D206F36629932C">
    <w:name w:val="9C67419908DCEB4390D206F36629932C"/>
  </w:style>
  <w:style w:type="paragraph" w:customStyle="1" w:styleId="C7F9ED69F71CE5418D950EE1A1F33179">
    <w:name w:val="C7F9ED69F71CE5418D950EE1A1F33179"/>
  </w:style>
  <w:style w:type="paragraph" w:customStyle="1" w:styleId="82070FAFB1D78E4A9A39993D693CFA1F">
    <w:name w:val="82070FAFB1D78E4A9A39993D693CFA1F"/>
  </w:style>
  <w:style w:type="paragraph" w:customStyle="1" w:styleId="29521403104A574B8F3607DA9EF26729">
    <w:name w:val="29521403104A574B8F3607DA9EF26729"/>
    <w:rsid w:val="000E50F0"/>
  </w:style>
  <w:style w:type="paragraph" w:customStyle="1" w:styleId="5779FB34075AA44A9AB14DA6D9BE1A56">
    <w:name w:val="5779FB34075AA44A9AB14DA6D9BE1A56"/>
    <w:rsid w:val="000E50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0F0"/>
    <w:rPr>
      <w:color w:val="808080"/>
    </w:rPr>
  </w:style>
  <w:style w:type="paragraph" w:customStyle="1" w:styleId="AA532DBAD7EE0749B56A6469BF6ED0E2">
    <w:name w:val="AA532DBAD7EE0749B56A6469BF6ED0E2"/>
  </w:style>
  <w:style w:type="paragraph" w:customStyle="1" w:styleId="D09E0657A31A434A894E92AA521DCA56">
    <w:name w:val="D09E0657A31A434A894E92AA521DCA56"/>
  </w:style>
  <w:style w:type="paragraph" w:customStyle="1" w:styleId="97300D7D5F53054583E49772360218B6">
    <w:name w:val="97300D7D5F53054583E49772360218B6"/>
  </w:style>
  <w:style w:type="paragraph" w:customStyle="1" w:styleId="B43D13660DEC8F4FAF38B426F5908FAE">
    <w:name w:val="B43D13660DEC8F4FAF38B426F5908FAE"/>
  </w:style>
  <w:style w:type="paragraph" w:customStyle="1" w:styleId="B5442254D19CFE4EB61B6C34982DA8B2">
    <w:name w:val="B5442254D19CFE4EB61B6C34982DA8B2"/>
  </w:style>
  <w:style w:type="paragraph" w:customStyle="1" w:styleId="ADA2E384A768784D852308DB8366B293">
    <w:name w:val="ADA2E384A768784D852308DB8366B293"/>
  </w:style>
  <w:style w:type="paragraph" w:customStyle="1" w:styleId="F6B8621F5C82DE45BCA9D435DFC772C4">
    <w:name w:val="F6B8621F5C82DE45BCA9D435DFC772C4"/>
  </w:style>
  <w:style w:type="paragraph" w:customStyle="1" w:styleId="605D8BC7D480F54E9811D15ABF1D18A2">
    <w:name w:val="605D8BC7D480F54E9811D15ABF1D18A2"/>
  </w:style>
  <w:style w:type="paragraph" w:customStyle="1" w:styleId="9C67419908DCEB4390D206F36629932C">
    <w:name w:val="9C67419908DCEB4390D206F36629932C"/>
  </w:style>
  <w:style w:type="paragraph" w:customStyle="1" w:styleId="C7F9ED69F71CE5418D950EE1A1F33179">
    <w:name w:val="C7F9ED69F71CE5418D950EE1A1F33179"/>
  </w:style>
  <w:style w:type="paragraph" w:customStyle="1" w:styleId="82070FAFB1D78E4A9A39993D693CFA1F">
    <w:name w:val="82070FAFB1D78E4A9A39993D693CFA1F"/>
  </w:style>
  <w:style w:type="paragraph" w:customStyle="1" w:styleId="29521403104A574B8F3607DA9EF26729">
    <w:name w:val="29521403104A574B8F3607DA9EF26729"/>
    <w:rsid w:val="000E50F0"/>
  </w:style>
  <w:style w:type="paragraph" w:customStyle="1" w:styleId="5779FB34075AA44A9AB14DA6D9BE1A56">
    <w:name w:val="5779FB34075AA44A9AB14DA6D9BE1A56"/>
    <w:rsid w:val="000E5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Fit45</b:Tag>
    <b:SourceType>Book</b:SourceType>
    <b:Guid>{B9CD36C9-E497-9C46-9C11-6445AD6F35C1}</b:Guid>
    <b:Author>
      <b:Author>
        <b:NameList>
          <b:Person>
            <b:Last>Fitzgerald</b:Last>
            <b:First>F.</b:First>
            <b:Middle>Scott</b:Middle>
          </b:Person>
        </b:NameList>
      </b:Author>
      <b:Editor>
        <b:NameList>
          <b:Person>
            <b:Last>Wilson</b:Last>
            <b:First>Edmund</b:First>
          </b:Person>
        </b:NameList>
      </b:Editor>
    </b:Author>
    <b:Title>The Crack-Up </b:Title>
    <b:City>New York</b:City>
    <b:Publisher>New Directions</b:Publisher>
    <b:Year>1945</b:Year>
    <b:RefOrder>1</b:RefOrder>
  </b:Source>
  <b:Source>
    <b:Tag>Koe02</b:Tag>
    <b:SourceType>Book</b:SourceType>
    <b:Guid>{1AFEBC7F-F2CD-C84D-AC9D-2E78438FC2B5}</b:Guid>
    <b:Title>Jazz in Print (1856-1929) An Anthology of Selected Early Readings in Jazz History</b:Title>
    <b:City>Hillsdale</b:City>
    <b:StateProvince>NY</b:StateProvince>
    <b:Publisher>Pendragon Press</b:Publisher>
    <b:Year>2002</b:Year>
    <b:Author>
      <b:Editor>
        <b:NameList>
          <b:Person>
            <b:Last>Koenig</b:Last>
            <b:First>Karl</b:First>
          </b:Person>
        </b:NameList>
      </b:Editor>
    </b:Author>
    <b:RefOrder>2</b:RefOrder>
  </b:Source>
  <b:Source>
    <b:Tag>Ras06</b:Tag>
    <b:SourceType>JournalArticle</b:SourceType>
    <b:Guid>{46C781FD-8057-AF4C-BDF5-DF77800273E9}</b:Guid>
    <b:Author>
      <b:Author>
        <b:NameList>
          <b:Person>
            <b:Last>Rasula</b:Last>
            <b:First>Jed</b:First>
          </b:Person>
        </b:NameList>
      </b:Author>
    </b:Author>
    <b:Title>Jazzbandism</b:Title>
    <b:Year>2006</b:Year>
    <b:Volume>LX</b:Volume>
    <b:Pages>61-124</b:Pages>
    <b:JournalName>Georgia Review</b:JournalName>
    <b:Month>Spring</b:Month>
    <b:Issue>1</b:Issue>
    <b:RefOrder>3</b:RefOrder>
  </b:Source>
</b:Sources>
</file>

<file path=customXml/itemProps1.xml><?xml version="1.0" encoding="utf-8"?>
<ds:datastoreItem xmlns:ds="http://schemas.openxmlformats.org/officeDocument/2006/customXml" ds:itemID="{30CFF9E2-0EA9-1340-965A-1E2DE1B5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4</cp:revision>
  <dcterms:created xsi:type="dcterms:W3CDTF">2016-01-21T05:53:00Z</dcterms:created>
  <dcterms:modified xsi:type="dcterms:W3CDTF">2016-03-10T06:16:00Z</dcterms:modified>
</cp:coreProperties>
</file>