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6698E" w14:paraId="281BB0A9" w14:textId="77777777" w:rsidTr="00922950">
        <w:tc>
          <w:tcPr>
            <w:tcW w:w="491" w:type="dxa"/>
            <w:vMerge w:val="restart"/>
            <w:shd w:val="clear" w:color="auto" w:fill="A6A6A6" w:themeFill="background1" w:themeFillShade="A6"/>
            <w:textDirection w:val="btLr"/>
          </w:tcPr>
          <w:p w14:paraId="2AC9F514" w14:textId="77777777" w:rsidR="00B574C9" w:rsidRPr="0036698E" w:rsidRDefault="00B574C9" w:rsidP="00CC586D">
            <w:pPr>
              <w:jc w:val="center"/>
              <w:rPr>
                <w:b/>
                <w:color w:val="FFFFFF" w:themeColor="background1"/>
              </w:rPr>
            </w:pPr>
            <w:r w:rsidRPr="0036698E">
              <w:rPr>
                <w:b/>
                <w:color w:val="FFFFFF" w:themeColor="background1"/>
              </w:rPr>
              <w:t>About you</w:t>
            </w:r>
          </w:p>
        </w:tc>
        <w:sdt>
          <w:sdtPr>
            <w:rPr>
              <w:b/>
              <w:color w:val="FFFFFF" w:themeColor="background1"/>
            </w:rPr>
            <w:alias w:val="Salutation"/>
            <w:tag w:val="salutation"/>
            <w:id w:val="-1659997262"/>
            <w:placeholder>
              <w:docPart w:val="1D4428D4E818F1478A6C967B61B9B6D3"/>
            </w:placeholder>
            <w:showingPlcHdr/>
            <w:dropDownList>
              <w:listItem w:displayText="Dr." w:value="Dr."/>
              <w:listItem w:displayText="Prof." w:value="Prof."/>
            </w:dropDownList>
          </w:sdtPr>
          <w:sdtEndPr/>
          <w:sdtContent>
            <w:tc>
              <w:tcPr>
                <w:tcW w:w="1259" w:type="dxa"/>
              </w:tcPr>
              <w:p w14:paraId="20CBC86C" w14:textId="77777777" w:rsidR="00B574C9" w:rsidRPr="0036698E" w:rsidRDefault="00B574C9" w:rsidP="00CC586D">
                <w:pPr>
                  <w:jc w:val="center"/>
                  <w:rPr>
                    <w:b/>
                    <w:color w:val="FFFFFF" w:themeColor="background1"/>
                  </w:rPr>
                </w:pPr>
                <w:r w:rsidRPr="0036698E">
                  <w:rPr>
                    <w:rStyle w:val="PlaceholderText"/>
                    <w:b/>
                    <w:color w:val="FFFFFF" w:themeColor="background1"/>
                  </w:rPr>
                  <w:t>[Salutation]</w:t>
                </w:r>
              </w:p>
            </w:tc>
          </w:sdtContent>
        </w:sdt>
        <w:sdt>
          <w:sdtPr>
            <w:alias w:val="First name"/>
            <w:tag w:val="authorFirstName"/>
            <w:id w:val="581645879"/>
            <w:placeholder>
              <w:docPart w:val="D219E43C1705CD498C69C30D5286EF64"/>
            </w:placeholder>
            <w:text/>
          </w:sdtPr>
          <w:sdtEndPr/>
          <w:sdtContent>
            <w:tc>
              <w:tcPr>
                <w:tcW w:w="2073" w:type="dxa"/>
              </w:tcPr>
              <w:p w14:paraId="44D4AE00" w14:textId="77777777" w:rsidR="00B574C9" w:rsidRPr="0036698E" w:rsidRDefault="00145908" w:rsidP="00145908">
                <w:r w:rsidRPr="0036698E">
                  <w:t>Erin</w:t>
                </w:r>
              </w:p>
            </w:tc>
          </w:sdtContent>
        </w:sdt>
        <w:sdt>
          <w:sdtPr>
            <w:alias w:val="Middle name"/>
            <w:tag w:val="authorMiddleName"/>
            <w:id w:val="-2076034781"/>
            <w:placeholder>
              <w:docPart w:val="59BED96D89B3F64286E73896A102C639"/>
            </w:placeholder>
            <w:showingPlcHdr/>
            <w:text/>
          </w:sdtPr>
          <w:sdtEndPr/>
          <w:sdtContent>
            <w:tc>
              <w:tcPr>
                <w:tcW w:w="2551" w:type="dxa"/>
              </w:tcPr>
              <w:p w14:paraId="2E241CE1" w14:textId="77777777" w:rsidR="00B574C9" w:rsidRPr="0036698E" w:rsidRDefault="00B574C9" w:rsidP="00922950">
                <w:r w:rsidRPr="0036698E">
                  <w:rPr>
                    <w:rStyle w:val="PlaceholderText"/>
                  </w:rPr>
                  <w:t>[Middle name]</w:t>
                </w:r>
              </w:p>
            </w:tc>
          </w:sdtContent>
        </w:sdt>
        <w:sdt>
          <w:sdtPr>
            <w:alias w:val="Last name"/>
            <w:tag w:val="authorLastName"/>
            <w:id w:val="-1088529830"/>
            <w:placeholder>
              <w:docPart w:val="17516ABF9CD93F4AB34FB4C803DC3E02"/>
            </w:placeholder>
            <w:text/>
          </w:sdtPr>
          <w:sdtEndPr/>
          <w:sdtContent>
            <w:tc>
              <w:tcPr>
                <w:tcW w:w="2642" w:type="dxa"/>
              </w:tcPr>
              <w:p w14:paraId="3A74A646" w14:textId="77777777" w:rsidR="00B574C9" w:rsidRPr="0036698E" w:rsidRDefault="00145908" w:rsidP="00145908">
                <w:r w:rsidRPr="0036698E">
                  <w:t>Templeton</w:t>
                </w:r>
              </w:p>
            </w:tc>
          </w:sdtContent>
        </w:sdt>
      </w:tr>
      <w:tr w:rsidR="00B574C9" w:rsidRPr="0036698E" w14:paraId="2103FCC5" w14:textId="77777777" w:rsidTr="001A6A06">
        <w:trPr>
          <w:trHeight w:val="986"/>
        </w:trPr>
        <w:tc>
          <w:tcPr>
            <w:tcW w:w="491" w:type="dxa"/>
            <w:vMerge/>
            <w:shd w:val="clear" w:color="auto" w:fill="A6A6A6" w:themeFill="background1" w:themeFillShade="A6"/>
          </w:tcPr>
          <w:p w14:paraId="49550615" w14:textId="77777777" w:rsidR="00B574C9" w:rsidRPr="0036698E" w:rsidRDefault="00B574C9" w:rsidP="00CF1542">
            <w:pPr>
              <w:jc w:val="center"/>
              <w:rPr>
                <w:b/>
                <w:color w:val="FFFFFF" w:themeColor="background1"/>
              </w:rPr>
            </w:pPr>
          </w:p>
        </w:tc>
        <w:sdt>
          <w:sdtPr>
            <w:alias w:val="Biography"/>
            <w:tag w:val="authorBiography"/>
            <w:id w:val="938807824"/>
            <w:placeholder>
              <w:docPart w:val="3433CAE05129C9488627A46912BA8F0A"/>
            </w:placeholder>
            <w:showingPlcHdr/>
          </w:sdtPr>
          <w:sdtEndPr/>
          <w:sdtContent>
            <w:tc>
              <w:tcPr>
                <w:tcW w:w="8525" w:type="dxa"/>
                <w:gridSpan w:val="4"/>
              </w:tcPr>
              <w:p w14:paraId="5DD7206E" w14:textId="77777777" w:rsidR="00B574C9" w:rsidRPr="0036698E" w:rsidRDefault="00B574C9" w:rsidP="00922950">
                <w:r w:rsidRPr="0036698E">
                  <w:rPr>
                    <w:rStyle w:val="PlaceholderText"/>
                  </w:rPr>
                  <w:t>[Enter your biography]</w:t>
                </w:r>
              </w:p>
            </w:tc>
          </w:sdtContent>
        </w:sdt>
      </w:tr>
      <w:tr w:rsidR="00B574C9" w:rsidRPr="0036698E" w14:paraId="79F95375" w14:textId="77777777" w:rsidTr="001A6A06">
        <w:trPr>
          <w:trHeight w:val="986"/>
        </w:trPr>
        <w:tc>
          <w:tcPr>
            <w:tcW w:w="491" w:type="dxa"/>
            <w:vMerge/>
            <w:shd w:val="clear" w:color="auto" w:fill="A6A6A6" w:themeFill="background1" w:themeFillShade="A6"/>
          </w:tcPr>
          <w:p w14:paraId="3104DF1E" w14:textId="77777777" w:rsidR="00B574C9" w:rsidRPr="0036698E" w:rsidRDefault="00B574C9" w:rsidP="00CF1542">
            <w:pPr>
              <w:jc w:val="center"/>
              <w:rPr>
                <w:b/>
                <w:color w:val="FFFFFF" w:themeColor="background1"/>
              </w:rPr>
            </w:pPr>
          </w:p>
        </w:tc>
        <w:sdt>
          <w:sdtPr>
            <w:alias w:val="Affiliation"/>
            <w:tag w:val="affiliation"/>
            <w:id w:val="2012937915"/>
            <w:placeholder>
              <w:docPart w:val="B8689E0A9A266B46BD328E1E0D10A0E1"/>
            </w:placeholder>
            <w:text/>
          </w:sdtPr>
          <w:sdtEndPr/>
          <w:sdtContent>
            <w:tc>
              <w:tcPr>
                <w:tcW w:w="8525" w:type="dxa"/>
                <w:gridSpan w:val="4"/>
              </w:tcPr>
              <w:p w14:paraId="22F05BAA" w14:textId="77777777" w:rsidR="00B574C9" w:rsidRPr="0036698E" w:rsidRDefault="00145908" w:rsidP="00145908">
                <w:r w:rsidRPr="0036698E">
                  <w:t>Converse College</w:t>
                </w:r>
              </w:p>
            </w:tc>
          </w:sdtContent>
        </w:sdt>
      </w:tr>
    </w:tbl>
    <w:p w14:paraId="6D03B360" w14:textId="77777777" w:rsidR="003D3579" w:rsidRPr="0036698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6698E" w14:paraId="62F767B4" w14:textId="77777777" w:rsidTr="00244BB0">
        <w:tc>
          <w:tcPr>
            <w:tcW w:w="9016" w:type="dxa"/>
            <w:shd w:val="clear" w:color="auto" w:fill="A6A6A6" w:themeFill="background1" w:themeFillShade="A6"/>
            <w:tcMar>
              <w:top w:w="113" w:type="dxa"/>
              <w:bottom w:w="113" w:type="dxa"/>
            </w:tcMar>
          </w:tcPr>
          <w:p w14:paraId="42055E17" w14:textId="77777777" w:rsidR="00244BB0" w:rsidRPr="0036698E" w:rsidRDefault="00244BB0" w:rsidP="00244BB0">
            <w:pPr>
              <w:jc w:val="center"/>
              <w:rPr>
                <w:b/>
                <w:color w:val="FFFFFF" w:themeColor="background1"/>
              </w:rPr>
            </w:pPr>
            <w:r w:rsidRPr="0036698E">
              <w:rPr>
                <w:b/>
                <w:color w:val="FFFFFF" w:themeColor="background1"/>
              </w:rPr>
              <w:t>Your article</w:t>
            </w:r>
          </w:p>
        </w:tc>
      </w:tr>
      <w:tr w:rsidR="003F0D73" w:rsidRPr="0036698E" w14:paraId="18383771" w14:textId="77777777" w:rsidTr="003F0D73">
        <w:sdt>
          <w:sdtPr>
            <w:alias w:val="Article headword"/>
            <w:tag w:val="articleHeadword"/>
            <w:id w:val="-361440020"/>
            <w:placeholder>
              <w:docPart w:val="B2C6D83928DC6F4EB26D703DD7809303"/>
            </w:placeholder>
            <w:text/>
          </w:sdtPr>
          <w:sdtEndPr/>
          <w:sdtContent>
            <w:tc>
              <w:tcPr>
                <w:tcW w:w="9016" w:type="dxa"/>
                <w:tcMar>
                  <w:top w:w="113" w:type="dxa"/>
                  <w:bottom w:w="113" w:type="dxa"/>
                </w:tcMar>
              </w:tcPr>
              <w:p w14:paraId="48524BF1" w14:textId="77777777" w:rsidR="003F0D73" w:rsidRPr="0036698E" w:rsidRDefault="00145908" w:rsidP="003F0D73">
                <w:pPr>
                  <w:rPr>
                    <w:b/>
                  </w:rPr>
                </w:pPr>
                <w:r w:rsidRPr="006817EC">
                  <w:rPr>
                    <w:rFonts w:eastAsiaTheme="minorEastAsia"/>
                    <w:lang w:val="en-US"/>
                  </w:rPr>
                  <w:t>The Cantos</w:t>
                </w:r>
              </w:p>
            </w:tc>
          </w:sdtContent>
        </w:sdt>
      </w:tr>
      <w:tr w:rsidR="00464699" w:rsidRPr="0036698E" w14:paraId="6A94DFDB" w14:textId="77777777" w:rsidTr="00145908">
        <w:sdt>
          <w:sdtPr>
            <w:alias w:val="Variant headwords"/>
            <w:tag w:val="variantHeadwords"/>
            <w:id w:val="173464402"/>
            <w:placeholder>
              <w:docPart w:val="F192BF8E33C6284A92F7C7BC01D6D603"/>
            </w:placeholder>
            <w:showingPlcHdr/>
          </w:sdtPr>
          <w:sdtEndPr/>
          <w:sdtContent>
            <w:tc>
              <w:tcPr>
                <w:tcW w:w="9016" w:type="dxa"/>
                <w:tcMar>
                  <w:top w:w="113" w:type="dxa"/>
                  <w:bottom w:w="113" w:type="dxa"/>
                </w:tcMar>
              </w:tcPr>
              <w:p w14:paraId="3FB3AA31" w14:textId="77777777" w:rsidR="00464699" w:rsidRPr="0036698E" w:rsidRDefault="00464699" w:rsidP="00464699">
                <w:r w:rsidRPr="0036698E">
                  <w:rPr>
                    <w:rStyle w:val="PlaceholderText"/>
                    <w:b/>
                  </w:rPr>
                  <w:t xml:space="preserve">[Enter any </w:t>
                </w:r>
                <w:r w:rsidRPr="0036698E">
                  <w:rPr>
                    <w:rStyle w:val="PlaceholderText"/>
                    <w:b/>
                    <w:i/>
                  </w:rPr>
                  <w:t>variant forms</w:t>
                </w:r>
                <w:r w:rsidRPr="0036698E">
                  <w:rPr>
                    <w:rStyle w:val="PlaceholderText"/>
                    <w:b/>
                  </w:rPr>
                  <w:t xml:space="preserve"> of your headword – OPTIONAL]</w:t>
                </w:r>
              </w:p>
            </w:tc>
          </w:sdtContent>
        </w:sdt>
      </w:tr>
      <w:tr w:rsidR="00E85A05" w:rsidRPr="0036698E" w14:paraId="629AFA0B" w14:textId="77777777" w:rsidTr="003F0D73">
        <w:sdt>
          <w:sdtPr>
            <w:alias w:val="Abstract"/>
            <w:tag w:val="abstract"/>
            <w:id w:val="-635871867"/>
            <w:placeholder>
              <w:docPart w:val="F6C72552297E8043B424C9E1FFDC1554"/>
            </w:placeholder>
          </w:sdtPr>
          <w:sdtEndPr/>
          <w:sdtContent>
            <w:tc>
              <w:tcPr>
                <w:tcW w:w="9016" w:type="dxa"/>
                <w:tcMar>
                  <w:top w:w="113" w:type="dxa"/>
                  <w:bottom w:w="113" w:type="dxa"/>
                </w:tcMar>
              </w:tcPr>
              <w:p w14:paraId="6C5CCE64" w14:textId="77777777"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14:paraId="3F66B981" w14:textId="77777777" w:rsidR="0036698E" w:rsidRPr="0036698E" w:rsidRDefault="0036698E" w:rsidP="0036698E"/>
              <w:p w14:paraId="62E76859" w14:textId="77777777" w:rsidR="00E85A05"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w:t>
                </w:r>
              </w:p>
            </w:tc>
          </w:sdtContent>
        </w:sdt>
      </w:tr>
      <w:tr w:rsidR="003F0D73" w:rsidRPr="0036698E" w14:paraId="5DED5DF9" w14:textId="77777777" w:rsidTr="003F0D73">
        <w:sdt>
          <w:sdtPr>
            <w:alias w:val="Article text"/>
            <w:tag w:val="articleText"/>
            <w:id w:val="634067588"/>
            <w:placeholder>
              <w:docPart w:val="7D5BAE3F3B50174596FF3C74CE855D22"/>
            </w:placeholder>
          </w:sdtPr>
          <w:sdtEndPr/>
          <w:sdtContent>
            <w:tc>
              <w:tcPr>
                <w:tcW w:w="9016" w:type="dxa"/>
                <w:tcMar>
                  <w:top w:w="113" w:type="dxa"/>
                  <w:bottom w:w="113" w:type="dxa"/>
                </w:tcMar>
              </w:tcPr>
              <w:p w14:paraId="6E775E6C" w14:textId="77777777"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14:paraId="746E3AAF" w14:textId="77777777" w:rsidR="0036698E" w:rsidRPr="0036698E" w:rsidRDefault="0036698E" w:rsidP="0036698E"/>
              <w:p w14:paraId="43CE49AE" w14:textId="77777777" w:rsidR="0036698E"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xml:space="preserve">,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 </w:t>
                </w:r>
              </w:p>
              <w:p w14:paraId="5BED66A9" w14:textId="77777777" w:rsidR="0036698E" w:rsidRPr="0036698E" w:rsidRDefault="0036698E" w:rsidP="0036698E"/>
              <w:p w14:paraId="3D88420D" w14:textId="77777777" w:rsidR="0036698E" w:rsidRPr="0036698E" w:rsidRDefault="0036698E" w:rsidP="0036698E">
                <w:r w:rsidRPr="0036698E">
                  <w:rPr>
                    <w:i/>
                  </w:rPr>
                  <w:t>The</w:t>
                </w:r>
                <w:r w:rsidRPr="0036698E">
                  <w:t xml:space="preserve"> </w:t>
                </w:r>
                <w:r w:rsidRPr="0036698E">
                  <w:rPr>
                    <w:i/>
                  </w:rPr>
                  <w:t>Cantos</w:t>
                </w:r>
                <w:r w:rsidRPr="0036698E">
                  <w:t xml:space="preserve"> is very loosely structured after Homer’s </w:t>
                </w:r>
                <w:r w:rsidRPr="0036698E">
                  <w:rPr>
                    <w:i/>
                  </w:rPr>
                  <w:t xml:space="preserve">Iliad </w:t>
                </w:r>
                <w:r w:rsidRPr="0036698E">
                  <w:t>and</w:t>
                </w:r>
                <w:r w:rsidRPr="0036698E">
                  <w:rPr>
                    <w:i/>
                  </w:rPr>
                  <w:t xml:space="preserve"> Odyssey</w:t>
                </w:r>
                <w:r w:rsidRPr="0036698E">
                  <w:t xml:space="preserve"> as well as Dante’s </w:t>
                </w:r>
                <w:r w:rsidRPr="0036698E">
                  <w:rPr>
                    <w:i/>
                  </w:rPr>
                  <w:t xml:space="preserve">Divine </w:t>
                </w:r>
                <w:r w:rsidRPr="0036698E">
                  <w:rPr>
                    <w:i/>
                  </w:rPr>
                  <w:lastRenderedPageBreak/>
                  <w:t xml:space="preserve">Comedy </w:t>
                </w:r>
                <w:r w:rsidRPr="0036698E">
                  <w:t>but with a form that is more elastic and able to accommodate different materials such as sections of prose or the lessons of Confucius</w:t>
                </w:r>
                <w:r w:rsidRPr="0036698E">
                  <w:rPr>
                    <w:i/>
                  </w:rPr>
                  <w:t xml:space="preserve">. </w:t>
                </w:r>
                <w:r w:rsidRPr="0036698E">
                  <w:t xml:space="preserve">While the overall structure of the work is free verse, individual poems adopt various complex formal structures. Canto I is a particularly virtuosic example; it translates a Latin edition of Homer’s </w:t>
                </w:r>
                <w:r w:rsidRPr="0036698E">
                  <w:rPr>
                    <w:i/>
                  </w:rPr>
                  <w:t>Odyssey</w:t>
                </w:r>
                <w:r w:rsidRPr="0036698E">
                  <w:t xml:space="preserve">—itself a translation from the original Greek—into English using the alliterative and accentual conventions of Anglo-Saxon poetry. </w:t>
                </w:r>
              </w:p>
              <w:p w14:paraId="2F5AD2B4" w14:textId="77777777" w:rsidR="0036698E" w:rsidRPr="0036698E" w:rsidRDefault="0036698E" w:rsidP="0036698E"/>
              <w:p w14:paraId="4A51FF09" w14:textId="77777777" w:rsidR="0036698E" w:rsidRPr="0036698E" w:rsidRDefault="0036698E" w:rsidP="0036698E">
                <w:r w:rsidRPr="0036698E">
                  <w:t xml:space="preserve">Pound famously described </w:t>
                </w:r>
                <w:r w:rsidRPr="0036698E">
                  <w:rPr>
                    <w:i/>
                  </w:rPr>
                  <w:t>The Cantos</w:t>
                </w:r>
                <w:r w:rsidRPr="0036698E">
                  <w:t xml:space="preserve"> as ‘a poem containing history,’ a phrase that acknowledges the poem’s role as historical narrative—an important element of epic tradition—though the poem lacks a central narrative and instead tries to weave together various threads from across cultures and time. Moreover, the descriptor ‘containing’ suggests an active relationship with a past that is neither linear nor singular. Instead </w:t>
                </w:r>
                <w:r w:rsidRPr="0036698E">
                  <w:rPr>
                    <w:i/>
                  </w:rPr>
                  <w:t>The Cantos</w:t>
                </w:r>
                <w:r w:rsidRPr="0036698E">
                  <w:t xml:space="preserve"> is Pound’s attempt to bring the best of a wide array of poetic traditions in several languages forward into the modern age, reinvigorating elements of the classics with contemporary ideas and personalities: artists and philosophers, poets and politicians. Packed with allusions and quotations, most in their original languages without annotation or translation, </w:t>
                </w:r>
                <w:r w:rsidRPr="0036698E">
                  <w:rPr>
                    <w:i/>
                  </w:rPr>
                  <w:t>The Cantos</w:t>
                </w:r>
                <w:r w:rsidRPr="0036698E">
                  <w:t xml:space="preserve"> demands erudition from its readers who are met at times with stunning lyricism and at others with virulent polemics. </w:t>
                </w:r>
              </w:p>
              <w:p w14:paraId="46B1C639" w14:textId="77777777" w:rsidR="0036698E" w:rsidRPr="0036698E" w:rsidRDefault="0036698E" w:rsidP="0036698E"/>
              <w:p w14:paraId="2D0E5D43" w14:textId="77777777" w:rsidR="0036698E" w:rsidRPr="0036698E" w:rsidRDefault="0036698E" w:rsidP="0036698E">
                <w:r w:rsidRPr="0036698E">
                  <w:t xml:space="preserve">While it is now available in a single volume, </w:t>
                </w:r>
                <w:r w:rsidRPr="0036698E">
                  <w:rPr>
                    <w:i/>
                  </w:rPr>
                  <w:t>The Cantos</w:t>
                </w:r>
                <w:r w:rsidRPr="0036698E">
                  <w:t xml:space="preserve"> was originally published in eleven separate books; these sometimes share thematic concerns and sometimes contain multiple thematic sub-sections. I-XVI (1924) contains two notable subsections, the </w:t>
                </w:r>
                <w:proofErr w:type="spellStart"/>
                <w:r w:rsidRPr="0036698E">
                  <w:t>Malatesta</w:t>
                </w:r>
                <w:proofErr w:type="spellEnd"/>
                <w:r w:rsidRPr="0036698E">
                  <w:t xml:space="preserve"> Cantos and the Hell Cantos. Cantos VIII-XI focus on the life of fifteenth-century Italian poet and patron </w:t>
                </w:r>
                <w:proofErr w:type="spellStart"/>
                <w:r w:rsidRPr="0036698E">
                  <w:t>Sigismondo</w:t>
                </w:r>
                <w:proofErr w:type="spellEnd"/>
                <w:r w:rsidRPr="0036698E">
                  <w:t xml:space="preserve"> </w:t>
                </w:r>
                <w:proofErr w:type="spellStart"/>
                <w:r w:rsidRPr="0036698E">
                  <w:t>Malatesta</w:t>
                </w:r>
                <w:proofErr w:type="spellEnd"/>
                <w:r w:rsidRPr="0036698E">
                  <w:t xml:space="preserve">. Frustrated by the effects that he thought capitalism and commercialism were having on the arts, Pound envisioned a system of artistic patronage for his contemporaries similar to that of </w:t>
                </w:r>
                <w:proofErr w:type="spellStart"/>
                <w:r w:rsidRPr="0036698E">
                  <w:t>Malatesta</w:t>
                </w:r>
                <w:proofErr w:type="spellEnd"/>
                <w:r w:rsidRPr="0036698E">
                  <w:t>. In the Hell Cantos, XIV-XV, Pound populates a modern-day Inferno with some of his contemporaries: politicians, rhetoricians, journalism, and others who corrupted and perverted language to serve their own ends. Canto XV includes reflections on the Great War and the Russian Revolution. XVII-XXX (1925) focuses primarily on Mediterranean culture with a particular focus on Italy. It explores the development of its poetic and political systems, returning to the idea of artistic patronage and the Russian Revolution.</w:t>
                </w:r>
              </w:p>
              <w:p w14:paraId="1B1CA40A" w14:textId="77777777" w:rsidR="0036698E" w:rsidRPr="0036698E" w:rsidRDefault="0036698E" w:rsidP="0036698E"/>
              <w:p w14:paraId="34CDDF29" w14:textId="1089D26B" w:rsidR="0036698E" w:rsidRPr="0036698E" w:rsidRDefault="0036698E" w:rsidP="0036698E">
                <w:r w:rsidRPr="0036698E">
                  <w:t xml:space="preserve">These two books were followed by XXXI-XLI, published as </w:t>
                </w:r>
                <w:r w:rsidRPr="0036698E">
                  <w:rPr>
                    <w:i/>
                  </w:rPr>
                  <w:t xml:space="preserve">Eleven New Cantos </w:t>
                </w:r>
                <w:r w:rsidRPr="0036698E">
                  <w:t xml:space="preserve">(1934) and XLII-LI, </w:t>
                </w:r>
                <w:r w:rsidRPr="0036698E">
                  <w:rPr>
                    <w:i/>
                  </w:rPr>
                  <w:t xml:space="preserve">The Fifth </w:t>
                </w:r>
                <w:proofErr w:type="spellStart"/>
                <w:r w:rsidRPr="0036698E">
                  <w:rPr>
                    <w:i/>
                  </w:rPr>
                  <w:t>Decad</w:t>
                </w:r>
                <w:proofErr w:type="spellEnd"/>
                <w:r w:rsidRPr="0036698E">
                  <w:rPr>
                    <w:i/>
                  </w:rPr>
                  <w:t xml:space="preserve"> of the Cantos XLII–LI </w:t>
                </w:r>
                <w:r w:rsidRPr="0036698E">
                  <w:t>(1937)</w:t>
                </w:r>
                <w:r w:rsidRPr="0036698E">
                  <w:rPr>
                    <w:rFonts w:cs="Helvetica"/>
                    <w:i/>
                    <w:iCs/>
                    <w:color w:val="1C1C1C"/>
                  </w:rPr>
                  <w:t>,</w:t>
                </w:r>
                <w:r w:rsidRPr="0036698E">
                  <w:t xml:space="preserve"> also known as the </w:t>
                </w:r>
                <w:proofErr w:type="spellStart"/>
                <w:r w:rsidRPr="0036698E">
                  <w:t>Leopoldian</w:t>
                </w:r>
                <w:proofErr w:type="spellEnd"/>
                <w:r w:rsidRPr="0036698E">
                  <w:rPr>
                    <w:rFonts w:cs="Helvetica"/>
                    <w:iCs/>
                    <w:color w:val="1C1C1C"/>
                  </w:rPr>
                  <w:t xml:space="preserve"> </w:t>
                </w:r>
                <w:r w:rsidRPr="0036698E">
                  <w:t xml:space="preserve">Cantos. The latter focuses on the development of the modern banking industry and </w:t>
                </w:r>
                <w:r w:rsidRPr="001E1D7A">
                  <w:t>contains the famous ‘</w:t>
                </w:r>
                <w:proofErr w:type="spellStart"/>
                <w:r w:rsidRPr="001E1D7A">
                  <w:t>Usura</w:t>
                </w:r>
                <w:proofErr w:type="spellEnd"/>
                <w:r w:rsidRPr="001E1D7A">
                  <w:t>’ canto</w:t>
                </w:r>
                <w:r w:rsidRPr="0036698E">
                  <w:t xml:space="preserve">, in which Pound rails against the modern practice of money lending. Such a practice, according to Pound, would not only corrupt the arts, it would ruin all of mankind spiritually and physically: ‘Corpses are set to banquet / at behest of </w:t>
                </w:r>
                <w:proofErr w:type="spellStart"/>
                <w:r w:rsidRPr="0036698E">
                  <w:t>usura</w:t>
                </w:r>
                <w:proofErr w:type="spellEnd"/>
                <w:r w:rsidRPr="0036698E">
                  <w:t xml:space="preserve">’ </w:t>
                </w:r>
                <w:commentRangeStart w:id="0"/>
                <w:r w:rsidRPr="0036698E">
                  <w:t xml:space="preserve">(lines 48-49). </w:t>
                </w:r>
                <w:commentRangeEnd w:id="0"/>
                <w:r w:rsidR="005D771C">
                  <w:rPr>
                    <w:rStyle w:val="CommentReference"/>
                  </w:rPr>
                  <w:commentReference w:id="0"/>
                </w:r>
                <w:r w:rsidRPr="0036698E">
                  <w:t xml:space="preserve">The next published section, </w:t>
                </w:r>
                <w:r w:rsidRPr="0036698E">
                  <w:rPr>
                    <w:i/>
                  </w:rPr>
                  <w:t xml:space="preserve">Cantos LII–LXXI </w:t>
                </w:r>
                <w:r w:rsidRPr="0036698E">
                  <w:t xml:space="preserve">(1940), contains the China Cantos (LII-LXI) and the Adams Cantos (LXII-XXI). The China Cantos are based on an eighteenth-century 12-volume set of Chinese history books. The Adams Cantos stitch together fragments from the writings of American President John Adams to depict Adams as the ideal American leader: practical, principled, and courageous. The next section of the poem, LXXII–LXXIII (The Italian Cantos), were written in 1944 and 1945 but were not published until the complete revised edition of the poem was published in 1987. These poems return to Pound’s earlier interest in Dante and adopt the formal structure of </w:t>
                </w:r>
                <w:r w:rsidRPr="0036698E">
                  <w:rPr>
                    <w:i/>
                  </w:rPr>
                  <w:t>The Divine Comedy</w:t>
                </w:r>
                <w:r w:rsidRPr="0036698E">
                  <w:t xml:space="preserve"> to focus on Italian culture, both ancient and modern. </w:t>
                </w:r>
                <w:bookmarkStart w:id="1" w:name="_GoBack"/>
                <w:bookmarkEnd w:id="1"/>
              </w:p>
              <w:p w14:paraId="58F70554" w14:textId="77777777" w:rsidR="0036698E" w:rsidRPr="0036698E" w:rsidRDefault="0036698E" w:rsidP="0036698E"/>
              <w:p w14:paraId="179454C4" w14:textId="77777777" w:rsidR="0036698E" w:rsidRPr="0036698E" w:rsidRDefault="0036698E" w:rsidP="0036698E">
                <w:pPr>
                  <w:rPr>
                    <w:rFonts w:cs="Georgia"/>
                    <w:color w:val="1C1C1C"/>
                  </w:rPr>
                </w:pPr>
                <w:r w:rsidRPr="0036698E">
                  <w:t xml:space="preserve">Perhaps best-known are the </w:t>
                </w:r>
                <w:proofErr w:type="spellStart"/>
                <w:r w:rsidRPr="0036698E">
                  <w:t>Pisan</w:t>
                </w:r>
                <w:proofErr w:type="spellEnd"/>
                <w:r w:rsidRPr="0036698E">
                  <w:t xml:space="preserve"> Cantos, </w:t>
                </w:r>
                <w:r w:rsidRPr="0036698E">
                  <w:rPr>
                    <w:rFonts w:cs="Georgia"/>
                    <w:color w:val="1C1C1C"/>
                  </w:rPr>
                  <w:t xml:space="preserve">LXXIV–LXXXIV (1948), so-called because of their place of origin. These twelve poems were composed during Pound’s confinement in an open-air Italian detainment </w:t>
                </w:r>
                <w:proofErr w:type="spellStart"/>
                <w:r w:rsidRPr="0036698E">
                  <w:rPr>
                    <w:rFonts w:cs="Georgia"/>
                    <w:color w:val="1C1C1C"/>
                  </w:rPr>
                  <w:t>center</w:t>
                </w:r>
                <w:proofErr w:type="spellEnd"/>
                <w:r w:rsidRPr="0036698E">
                  <w:rPr>
                    <w:rFonts w:cs="Georgia"/>
                    <w:color w:val="1C1C1C"/>
                  </w:rPr>
                  <w:t xml:space="preserve"> while under arrest for treason. The tone of the poem shifts from its previously documentary pose and assumes a more personal and lyrical mode. It opens with the execution of Benito Mussolini, whose death represented the loss of Pound’s hopes for economic and social reform, for Pound, as Christine </w:t>
                </w:r>
                <w:proofErr w:type="spellStart"/>
                <w:r w:rsidRPr="0036698E">
                  <w:rPr>
                    <w:rFonts w:cs="Georgia"/>
                    <w:color w:val="1C1C1C"/>
                  </w:rPr>
                  <w:t>Froula</w:t>
                </w:r>
                <w:proofErr w:type="spellEnd"/>
                <w:r w:rsidRPr="0036698E">
                  <w:rPr>
                    <w:rFonts w:cs="Georgia"/>
                    <w:color w:val="1C1C1C"/>
                  </w:rPr>
                  <w:t xml:space="preserve"> points out, did not understand that Mussolini had betrayed </w:t>
                </w:r>
                <w:r w:rsidRPr="0036698E">
                  <w:rPr>
                    <w:rFonts w:cs="Georgia"/>
                    <w:color w:val="1C1C1C"/>
                  </w:rPr>
                  <w:lastRenderedPageBreak/>
                  <w:t xml:space="preserve">these ideals long before. Over the course of the rest of these poems, Pound is visited by the ghosts of several late friends, Ford Maddox Ford, James Joyce, and W. B. Yeats, among others, and he revisits many of the political and economic tenets of earlier cantos. The poems were awarded the first </w:t>
                </w:r>
                <w:proofErr w:type="spellStart"/>
                <w:r w:rsidRPr="0036698E">
                  <w:rPr>
                    <w:rFonts w:cs="Georgia"/>
                    <w:color w:val="1C1C1C"/>
                  </w:rPr>
                  <w:t>Bollingen</w:t>
                </w:r>
                <w:proofErr w:type="spellEnd"/>
                <w:r w:rsidRPr="0036698E">
                  <w:rPr>
                    <w:rFonts w:cs="Georgia"/>
                    <w:color w:val="1C1C1C"/>
                  </w:rPr>
                  <w:t xml:space="preserve"> prize for poetry in 1949, which sparked a major controversy given Pound’s fascist sympathies. </w:t>
                </w:r>
              </w:p>
              <w:p w14:paraId="3084903C" w14:textId="77777777" w:rsidR="0036698E" w:rsidRPr="0036698E" w:rsidRDefault="0036698E" w:rsidP="0036698E">
                <w:pPr>
                  <w:rPr>
                    <w:rFonts w:cs="Georgia"/>
                    <w:color w:val="1C1C1C"/>
                  </w:rPr>
                </w:pPr>
              </w:p>
              <w:p w14:paraId="689E2E01" w14:textId="77777777" w:rsidR="0036698E" w:rsidRPr="0036698E" w:rsidRDefault="0036698E" w:rsidP="0036698E">
                <w:r w:rsidRPr="0036698E">
                  <w:rPr>
                    <w:rFonts w:cs="Georgia"/>
                    <w:color w:val="1C1C1C"/>
                  </w:rPr>
                  <w:t xml:space="preserve">In 1956, Pound published </w:t>
                </w:r>
                <w:r w:rsidRPr="0036698E">
                  <w:t xml:space="preserve">LXXXV–XCV under the title </w:t>
                </w:r>
                <w:r w:rsidRPr="0036698E">
                  <w:rPr>
                    <w:i/>
                  </w:rPr>
                  <w:t>Section: Rock-Drill</w:t>
                </w:r>
                <w:r w:rsidRPr="0036698E">
                  <w:rPr>
                    <w:rFonts w:cs="Helvetica"/>
                    <w:i/>
                    <w:iCs/>
                    <w:color w:val="1C1C1C"/>
                  </w:rPr>
                  <w:t xml:space="preserve">, 85–95 de los </w:t>
                </w:r>
                <w:proofErr w:type="spellStart"/>
                <w:r w:rsidRPr="0036698E">
                  <w:rPr>
                    <w:rFonts w:cs="Helvetica"/>
                    <w:i/>
                    <w:iCs/>
                    <w:color w:val="1C1C1C"/>
                  </w:rPr>
                  <w:t>cantares</w:t>
                </w:r>
                <w:proofErr w:type="spellEnd"/>
                <w:r w:rsidRPr="0036698E">
                  <w:t xml:space="preserve">. </w:t>
                </w:r>
                <w:r w:rsidRPr="0036698E">
                  <w:rPr>
                    <w:i/>
                  </w:rPr>
                  <w:t>Rock-Drill</w:t>
                </w:r>
                <w:r w:rsidRPr="0036698E">
                  <w:t xml:space="preserve"> was one of two sections of the poem that Pound composed while institutionalized at St. Elizabeth’s, a hospital outside of Washington DC. The mechanistic title ‘was intended to imply the necessary resistance in getting a main thesis across — hammering’ (Stock, 566). This section of </w:t>
                </w:r>
                <w:r w:rsidRPr="0036698E">
                  <w:rPr>
                    <w:i/>
                  </w:rPr>
                  <w:t>The Cantos</w:t>
                </w:r>
                <w:r w:rsidRPr="0036698E">
                  <w:t xml:space="preserve"> tries to bring together many of the ideas that Pound has included in earlier sections to realize paradise in poetic form. They are marked by exceptional density, and feature Chinese ideograms as well as lines in untranslated Greek, rendering them all but illegible for many readers.</w:t>
                </w:r>
              </w:p>
              <w:p w14:paraId="1757BEE6" w14:textId="77777777" w:rsidR="0036698E" w:rsidRPr="0036698E" w:rsidRDefault="0036698E" w:rsidP="0036698E"/>
              <w:p w14:paraId="1C432B90" w14:textId="77777777" w:rsidR="0036698E" w:rsidRPr="0036698E" w:rsidRDefault="0036698E" w:rsidP="0036698E">
                <w:r w:rsidRPr="0036698E">
                  <w:t xml:space="preserve">Three years later, in 1959, Pound followed </w:t>
                </w:r>
                <w:r w:rsidRPr="0036698E">
                  <w:rPr>
                    <w:i/>
                  </w:rPr>
                  <w:t xml:space="preserve">Rock-Drill </w:t>
                </w:r>
                <w:r w:rsidRPr="0036698E">
                  <w:t xml:space="preserve">with the second volume of </w:t>
                </w:r>
                <w:r w:rsidRPr="0036698E">
                  <w:rPr>
                    <w:i/>
                  </w:rPr>
                  <w:t>The Cantos</w:t>
                </w:r>
                <w:r w:rsidRPr="0036698E">
                  <w:t xml:space="preserve"> composed at St. Elizabeth’s, </w:t>
                </w:r>
                <w:r w:rsidRPr="0036698E">
                  <w:rPr>
                    <w:rFonts w:cs="Helvetica"/>
                    <w:i/>
                    <w:iCs/>
                    <w:color w:val="1C1C1C"/>
                  </w:rPr>
                  <w:t xml:space="preserve">Thrones: 96–109 de los </w:t>
                </w:r>
                <w:proofErr w:type="spellStart"/>
                <w:r w:rsidRPr="0036698E">
                  <w:rPr>
                    <w:rFonts w:cs="Helvetica"/>
                    <w:i/>
                    <w:iCs/>
                    <w:color w:val="1C1C1C"/>
                  </w:rPr>
                  <w:t>cantares</w:t>
                </w:r>
                <w:proofErr w:type="spellEnd"/>
                <w:r w:rsidRPr="0036698E">
                  <w:rPr>
                    <w:rFonts w:cs="Helvetica"/>
                    <w:i/>
                    <w:iCs/>
                    <w:color w:val="1C1C1C"/>
                  </w:rPr>
                  <w:t>.</w:t>
                </w:r>
                <w:r w:rsidRPr="0036698E">
                  <w:t xml:space="preserve">  He explained</w:t>
                </w:r>
                <w:r w:rsidRPr="0036698E">
                  <w:rPr>
                    <w:rFonts w:cs="Times New Roman"/>
                  </w:rPr>
                  <w:t xml:space="preserve">, </w:t>
                </w:r>
                <w:r w:rsidRPr="0036698E">
                  <w:rPr>
                    <w:rFonts w:cs="Times New Roman"/>
                    <w:color w:val="1C1C1C"/>
                  </w:rPr>
                  <w:t xml:space="preserve">‘The thrones in Dante's </w:t>
                </w:r>
                <w:proofErr w:type="spellStart"/>
                <w:r w:rsidRPr="0036698E">
                  <w:rPr>
                    <w:rFonts w:cs="Times New Roman"/>
                    <w:i/>
                    <w:iCs/>
                    <w:color w:val="1C1C1C"/>
                  </w:rPr>
                  <w:t>Paradiso</w:t>
                </w:r>
                <w:proofErr w:type="spellEnd"/>
                <w:r w:rsidRPr="0036698E">
                  <w:rPr>
                    <w:rFonts w:cs="Times New Roman"/>
                    <w:color w:val="1C1C1C"/>
                  </w:rPr>
                  <w:t xml:space="preserve"> are for the spirits of the people who have been responsible for good government. The thrones in </w:t>
                </w:r>
                <w:r w:rsidRPr="0036698E">
                  <w:rPr>
                    <w:rFonts w:cs="Times New Roman"/>
                    <w:i/>
                    <w:iCs/>
                    <w:color w:val="1C1C1C"/>
                  </w:rPr>
                  <w:t>The Cantos</w:t>
                </w:r>
                <w:r w:rsidRPr="0036698E">
                  <w:rPr>
                    <w:rFonts w:cs="Times New Roman"/>
                    <w:color w:val="1C1C1C"/>
                  </w:rPr>
                  <w:t xml:space="preserve"> are an attempt to move out from egoism and to establish some definition of an order possible or at any rate conceivable on earth … </w:t>
                </w:r>
                <w:r w:rsidRPr="0036698E">
                  <w:rPr>
                    <w:rFonts w:cs="Times New Roman"/>
                    <w:i/>
                    <w:iCs/>
                    <w:color w:val="1C1C1C"/>
                  </w:rPr>
                  <w:t>Thrones</w:t>
                </w:r>
                <w:r w:rsidRPr="0036698E">
                  <w:rPr>
                    <w:rFonts w:cs="Times New Roman"/>
                    <w:color w:val="1C1C1C"/>
                  </w:rPr>
                  <w:t xml:space="preserve"> concerns the states of mind of people responsible for something</w:t>
                </w:r>
                <w:r w:rsidRPr="0036698E">
                  <w:rPr>
                    <w:rFonts w:cs="Helvetica"/>
                    <w:color w:val="1C1C1C"/>
                  </w:rPr>
                  <w:t xml:space="preserve"> more than their personal conduct’ (Stock, 566).</w:t>
                </w:r>
                <w:r w:rsidRPr="0036698E">
                  <w:t xml:space="preserve"> </w:t>
                </w:r>
              </w:p>
              <w:p w14:paraId="57EAFB05" w14:textId="77777777" w:rsidR="0036698E" w:rsidRPr="0036698E" w:rsidRDefault="0036698E" w:rsidP="0036698E">
                <w:pPr>
                  <w:rPr>
                    <w:rFonts w:cs="Georgia"/>
                    <w:color w:val="1C1C1C"/>
                  </w:rPr>
                </w:pPr>
              </w:p>
              <w:p w14:paraId="6CACC222" w14:textId="77777777" w:rsidR="0036698E" w:rsidRDefault="0036698E" w:rsidP="0036698E">
                <w:pPr>
                  <w:rPr>
                    <w:rFonts w:cs="Georgia"/>
                    <w:color w:val="1C1C1C"/>
                  </w:rPr>
                </w:pPr>
                <w:r w:rsidRPr="0036698E">
                  <w:rPr>
                    <w:rFonts w:cs="Georgia"/>
                    <w:color w:val="1C1C1C"/>
                  </w:rPr>
                  <w:t>A</w:t>
                </w:r>
                <w:r w:rsidRPr="0036698E">
                  <w:t xml:space="preserve">s he neared the completion of the project late in life, he reflected with dissatisfaction, ‘It is difficult to write a </w:t>
                </w:r>
                <w:proofErr w:type="spellStart"/>
                <w:r w:rsidRPr="0036698E">
                  <w:t>paradiso</w:t>
                </w:r>
                <w:proofErr w:type="spellEnd"/>
                <w:r w:rsidRPr="0036698E">
                  <w:t xml:space="preserve"> when all the superficial indications are that you ought to write an apocalypse’ and </w:t>
                </w:r>
                <w:r w:rsidRPr="0036698E">
                  <w:rPr>
                    <w:rFonts w:cs="Georgia"/>
                    <w:color w:val="1C1C1C"/>
                  </w:rPr>
                  <w:t>also remarked that the poem was ‘too obscure’ (</w:t>
                </w:r>
                <w:r w:rsidRPr="0036698E">
                  <w:rPr>
                    <w:rFonts w:cs="Georgia"/>
                    <w:i/>
                    <w:color w:val="1C1C1C"/>
                  </w:rPr>
                  <w:t>Paris Review</w:t>
                </w:r>
                <w:r w:rsidRPr="0036698E">
                  <w:rPr>
                    <w:rFonts w:cs="Georgia"/>
                    <w:color w:val="1C1C1C"/>
                  </w:rPr>
                  <w:t xml:space="preserve">). </w:t>
                </w:r>
                <w:r w:rsidRPr="0036698E">
                  <w:t>Many critics read th</w:t>
                </w:r>
                <w:r w:rsidRPr="0036698E">
                  <w:rPr>
                    <w:rFonts w:cs="Georgia"/>
                    <w:color w:val="1C1C1C"/>
                  </w:rPr>
                  <w:t xml:space="preserve">e following passage from CXVI as an admission of failure: </w:t>
                </w:r>
              </w:p>
              <w:p w14:paraId="3AA091F5" w14:textId="77777777" w:rsidR="006817EC" w:rsidRPr="0036698E" w:rsidRDefault="006817EC" w:rsidP="0036698E">
                <w:pPr>
                  <w:rPr>
                    <w:rFonts w:cs="Georgia"/>
                    <w:color w:val="1C1C1C"/>
                  </w:rPr>
                </w:pPr>
              </w:p>
              <w:p w14:paraId="3D0C245E" w14:textId="77777777" w:rsidR="0036698E" w:rsidRPr="0036698E" w:rsidRDefault="0036698E" w:rsidP="006817EC">
                <w:pPr>
                  <w:ind w:left="720" w:hanging="11"/>
                  <w:rPr>
                    <w:rFonts w:cs="Georgia"/>
                    <w:color w:val="1C1C1C"/>
                  </w:rPr>
                </w:pPr>
                <w:r w:rsidRPr="0036698E">
                  <w:rPr>
                    <w:rFonts w:cs="Georgia"/>
                    <w:color w:val="1C1C1C"/>
                  </w:rPr>
                  <w:t xml:space="preserve">But the beauty is not the madness </w:t>
                </w:r>
              </w:p>
              <w:p w14:paraId="15DC051D" w14:textId="77777777" w:rsidR="0036698E" w:rsidRPr="0036698E" w:rsidRDefault="0036698E" w:rsidP="0036698E">
                <w:pPr>
                  <w:rPr>
                    <w:rFonts w:cs="Georgia"/>
                    <w:color w:val="1C1C1C"/>
                  </w:rPr>
                </w:pPr>
                <w:r w:rsidRPr="0036698E">
                  <w:rPr>
                    <w:rFonts w:cs="Georgia"/>
                    <w:color w:val="1C1C1C"/>
                  </w:rPr>
                  <w:tab/>
                </w:r>
                <w:proofErr w:type="spellStart"/>
                <w:r w:rsidRPr="0036698E">
                  <w:rPr>
                    <w:rFonts w:cs="Georgia"/>
                    <w:color w:val="1C1C1C"/>
                  </w:rPr>
                  <w:t>Tho</w:t>
                </w:r>
                <w:proofErr w:type="spellEnd"/>
                <w:r w:rsidRPr="0036698E">
                  <w:rPr>
                    <w:rFonts w:cs="Georgia"/>
                    <w:color w:val="1C1C1C"/>
                  </w:rPr>
                  <w:t>’ my errors and wrecks lie about me.</w:t>
                </w:r>
              </w:p>
              <w:p w14:paraId="34BCF0A5" w14:textId="77777777" w:rsidR="0036698E" w:rsidRPr="0036698E" w:rsidRDefault="0036698E" w:rsidP="0036698E">
                <w:pPr>
                  <w:ind w:firstLine="720"/>
                  <w:rPr>
                    <w:rFonts w:cs="Georgia"/>
                    <w:color w:val="1C1C1C"/>
                  </w:rPr>
                </w:pPr>
                <w:r w:rsidRPr="0036698E">
                  <w:rPr>
                    <w:rFonts w:cs="Georgia"/>
                    <w:color w:val="1C1C1C"/>
                  </w:rPr>
                  <w:t>And I am not a demigod.</w:t>
                </w:r>
              </w:p>
              <w:p w14:paraId="4F68ABE1" w14:textId="77777777" w:rsidR="0036698E" w:rsidRDefault="0036698E" w:rsidP="0036698E">
                <w:pPr>
                  <w:ind w:firstLine="720"/>
                  <w:rPr>
                    <w:rFonts w:cs="Georgia"/>
                    <w:color w:val="1C1C1C"/>
                  </w:rPr>
                </w:pPr>
                <w:r w:rsidRPr="0036698E">
                  <w:rPr>
                    <w:rFonts w:cs="Georgia"/>
                    <w:color w:val="1C1C1C"/>
                  </w:rPr>
                  <w:t>I cannot make it cohere</w:t>
                </w:r>
                <w:r w:rsidR="006817EC">
                  <w:rPr>
                    <w:rFonts w:cs="Georgia"/>
                    <w:color w:val="1C1C1C"/>
                  </w:rPr>
                  <w:t>. (26-29)</w:t>
                </w:r>
              </w:p>
              <w:p w14:paraId="7D96AA94" w14:textId="77777777" w:rsidR="006817EC" w:rsidRPr="0036698E" w:rsidRDefault="006817EC" w:rsidP="0036698E">
                <w:pPr>
                  <w:ind w:firstLine="720"/>
                  <w:rPr>
                    <w:rFonts w:cs="Georgia"/>
                    <w:color w:val="1C1C1C"/>
                  </w:rPr>
                </w:pPr>
              </w:p>
              <w:p w14:paraId="181AF9C9" w14:textId="77777777" w:rsidR="003F0D73" w:rsidRPr="0036698E" w:rsidRDefault="0036698E" w:rsidP="0036698E">
                <w:r w:rsidRPr="0036698E">
                  <w:rPr>
                    <w:rFonts w:cs="Georgia"/>
                    <w:color w:val="1C1C1C"/>
                  </w:rPr>
                  <w:t xml:space="preserve">Plagued by self-doubt, Pound himself told Allen Ginsberg in 1967 that </w:t>
                </w:r>
                <w:r w:rsidRPr="0036698E">
                  <w:rPr>
                    <w:rFonts w:cs="Georgia"/>
                    <w:i/>
                    <w:color w:val="1C1C1C"/>
                  </w:rPr>
                  <w:t>The Cantos</w:t>
                </w:r>
                <w:r w:rsidRPr="0036698E">
                  <w:rPr>
                    <w:rFonts w:cs="Georgia"/>
                    <w:color w:val="1C1C1C"/>
                  </w:rPr>
                  <w:t xml:space="preserve"> was </w:t>
                </w:r>
                <w:r w:rsidRPr="0036698E">
                  <w:t xml:space="preserve">‘A mess … my writing, stupidity and ignorance all the way through.’ Ginsberg disagreed, however, calling them ‘a great human achievement.’ The appearance of a pirated edition of </w:t>
                </w:r>
                <w:r w:rsidRPr="0036698E">
                  <w:rPr>
                    <w:i/>
                  </w:rPr>
                  <w:t>Cantos 110-116</w:t>
                </w:r>
                <w:r w:rsidRPr="0036698E">
                  <w:t xml:space="preserve"> convinced Pound reluctantly to publish the final </w:t>
                </w:r>
                <w:proofErr w:type="spellStart"/>
                <w:r w:rsidRPr="0036698E">
                  <w:t>installment</w:t>
                </w:r>
                <w:proofErr w:type="spellEnd"/>
                <w:r w:rsidRPr="0036698E">
                  <w:t xml:space="preserve"> of </w:t>
                </w:r>
                <w:r w:rsidRPr="0036698E">
                  <w:rPr>
                    <w:i/>
                  </w:rPr>
                  <w:t>The Cantos</w:t>
                </w:r>
                <w:r w:rsidRPr="0036698E">
                  <w:t xml:space="preserve">, </w:t>
                </w:r>
                <w:r w:rsidRPr="0036698E">
                  <w:rPr>
                    <w:i/>
                  </w:rPr>
                  <w:t>Drafts and Fragments of Cantos CX-CXVII</w:t>
                </w:r>
                <w:r w:rsidRPr="0036698E">
                  <w:t>,</w:t>
                </w:r>
                <w:r w:rsidRPr="0036698E">
                  <w:rPr>
                    <w:rFonts w:cs="Georgia"/>
                    <w:color w:val="1C1C1C"/>
                  </w:rPr>
                  <w:t xml:space="preserve"> in 1969.</w:t>
                </w:r>
              </w:p>
            </w:tc>
          </w:sdtContent>
        </w:sdt>
      </w:tr>
      <w:tr w:rsidR="003235A7" w:rsidRPr="0036698E" w14:paraId="75245A68" w14:textId="77777777" w:rsidTr="003235A7">
        <w:tc>
          <w:tcPr>
            <w:tcW w:w="9016" w:type="dxa"/>
          </w:tcPr>
          <w:p w14:paraId="763AFE02" w14:textId="77777777" w:rsidR="003235A7" w:rsidRPr="0036698E" w:rsidRDefault="003235A7" w:rsidP="008A5B87">
            <w:r w:rsidRPr="0036698E">
              <w:rPr>
                <w:u w:val="single"/>
              </w:rPr>
              <w:lastRenderedPageBreak/>
              <w:t>Further reading</w:t>
            </w:r>
            <w:r w:rsidRPr="0036698E">
              <w:t>:</w:t>
            </w:r>
          </w:p>
          <w:sdt>
            <w:sdtPr>
              <w:alias w:val="Further reading"/>
              <w:tag w:val="furtherReading"/>
              <w:id w:val="-1516217107"/>
              <w:placeholder>
                <w:docPart w:val="6474B6DF2D39EB40AD6AFAE816F8BED5"/>
              </w:placeholder>
            </w:sdtPr>
            <w:sdtEndPr/>
            <w:sdtContent>
              <w:p w14:paraId="502F89C9" w14:textId="77777777" w:rsidR="0036698E" w:rsidRPr="0036698E" w:rsidRDefault="0036698E" w:rsidP="0036698E"/>
              <w:p w14:paraId="4AC5D5FC" w14:textId="77777777" w:rsidR="0036698E" w:rsidRPr="0036698E" w:rsidRDefault="00327B6E" w:rsidP="0036698E">
                <w:sdt>
                  <w:sdtPr>
                    <w:id w:val="591283639"/>
                    <w:citation/>
                  </w:sdtPr>
                  <w:sdtEndPr/>
                  <w:sdtContent>
                    <w:r w:rsidR="0036698E" w:rsidRPr="0036698E">
                      <w:fldChar w:fldCharType="begin"/>
                    </w:r>
                    <w:r w:rsidR="0036698E" w:rsidRPr="0036698E">
                      <w:rPr>
                        <w:lang w:val="en-US"/>
                      </w:rPr>
                      <w:instrText xml:space="preserve"> CITATION Coo022 \l 1033 </w:instrText>
                    </w:r>
                    <w:r w:rsidR="0036698E" w:rsidRPr="0036698E">
                      <w:fldChar w:fldCharType="separate"/>
                    </w:r>
                    <w:r w:rsidR="005D771C" w:rsidRPr="005D771C">
                      <w:rPr>
                        <w:noProof/>
                        <w:lang w:val="en-US"/>
                      </w:rPr>
                      <w:t>(Cookson)</w:t>
                    </w:r>
                    <w:r w:rsidR="0036698E" w:rsidRPr="0036698E">
                      <w:fldChar w:fldCharType="end"/>
                    </w:r>
                  </w:sdtContent>
                </w:sdt>
              </w:p>
              <w:p w14:paraId="22AF08F4" w14:textId="77777777" w:rsidR="0036698E" w:rsidRPr="0036698E" w:rsidRDefault="0036698E" w:rsidP="0036698E"/>
              <w:p w14:paraId="2FF73B67" w14:textId="77777777" w:rsidR="0036698E" w:rsidRPr="0036698E" w:rsidRDefault="00327B6E" w:rsidP="0036698E">
                <w:sdt>
                  <w:sdtPr>
                    <w:id w:val="-1897187230"/>
                    <w:citation/>
                  </w:sdtPr>
                  <w:sdtEndPr/>
                  <w:sdtContent>
                    <w:r w:rsidR="0036698E" w:rsidRPr="0036698E">
                      <w:fldChar w:fldCharType="begin"/>
                    </w:r>
                    <w:r w:rsidR="0036698E" w:rsidRPr="0036698E">
                      <w:rPr>
                        <w:lang w:val="en-US"/>
                      </w:rPr>
                      <w:instrText xml:space="preserve"> CITATION Fro82 \l 1033 </w:instrText>
                    </w:r>
                    <w:r w:rsidR="0036698E" w:rsidRPr="0036698E">
                      <w:fldChar w:fldCharType="separate"/>
                    </w:r>
                    <w:r w:rsidR="005D771C" w:rsidRPr="005D771C">
                      <w:rPr>
                        <w:noProof/>
                        <w:lang w:val="en-US"/>
                      </w:rPr>
                      <w:t>(Froula)</w:t>
                    </w:r>
                    <w:r w:rsidR="0036698E" w:rsidRPr="0036698E">
                      <w:fldChar w:fldCharType="end"/>
                    </w:r>
                  </w:sdtContent>
                </w:sdt>
              </w:p>
              <w:p w14:paraId="3AAEB230" w14:textId="77777777" w:rsidR="0036698E" w:rsidRPr="0036698E" w:rsidRDefault="0036698E" w:rsidP="0036698E"/>
              <w:p w14:paraId="5AF6B81F" w14:textId="77777777" w:rsidR="0036698E" w:rsidRPr="0036698E" w:rsidRDefault="00327B6E" w:rsidP="0036698E">
                <w:sdt>
                  <w:sdtPr>
                    <w:id w:val="1066382262"/>
                    <w:citation/>
                  </w:sdtPr>
                  <w:sdtEndPr/>
                  <w:sdtContent>
                    <w:r w:rsidR="0036698E" w:rsidRPr="0036698E">
                      <w:fldChar w:fldCharType="begin"/>
                    </w:r>
                    <w:r w:rsidR="0036698E" w:rsidRPr="0036698E">
                      <w:rPr>
                        <w:lang w:val="en-US"/>
                      </w:rPr>
                      <w:instrText xml:space="preserve"> CITATION Gin74 \l 1033 </w:instrText>
                    </w:r>
                    <w:r w:rsidR="0036698E" w:rsidRPr="0036698E">
                      <w:fldChar w:fldCharType="separate"/>
                    </w:r>
                    <w:r w:rsidR="005D771C" w:rsidRPr="005D771C">
                      <w:rPr>
                        <w:noProof/>
                        <w:lang w:val="en-US"/>
                      </w:rPr>
                      <w:t>(Ginsberg)</w:t>
                    </w:r>
                    <w:r w:rsidR="0036698E" w:rsidRPr="0036698E">
                      <w:fldChar w:fldCharType="end"/>
                    </w:r>
                  </w:sdtContent>
                </w:sdt>
              </w:p>
              <w:p w14:paraId="4602718D" w14:textId="77777777" w:rsidR="0036698E" w:rsidRPr="0036698E" w:rsidRDefault="0036698E" w:rsidP="0036698E"/>
              <w:p w14:paraId="66CB0477" w14:textId="77777777" w:rsidR="0036698E" w:rsidRPr="0036698E" w:rsidRDefault="00327B6E" w:rsidP="0036698E">
                <w:sdt>
                  <w:sdtPr>
                    <w:id w:val="-392347112"/>
                    <w:citation/>
                  </w:sdtPr>
                  <w:sdtEndPr/>
                  <w:sdtContent>
                    <w:r w:rsidR="0036698E" w:rsidRPr="0036698E">
                      <w:fldChar w:fldCharType="begin"/>
                    </w:r>
                    <w:r w:rsidR="0036698E" w:rsidRPr="0036698E">
                      <w:rPr>
                        <w:lang w:val="en-US"/>
                      </w:rPr>
                      <w:instrText xml:space="preserve"> CITATION Hal62 \l 1033 </w:instrText>
                    </w:r>
                    <w:r w:rsidR="0036698E" w:rsidRPr="0036698E">
                      <w:fldChar w:fldCharType="separate"/>
                    </w:r>
                    <w:r w:rsidR="005D771C" w:rsidRPr="005D771C">
                      <w:rPr>
                        <w:noProof/>
                        <w:lang w:val="en-US"/>
                      </w:rPr>
                      <w:t>(Hall)</w:t>
                    </w:r>
                    <w:r w:rsidR="0036698E" w:rsidRPr="0036698E">
                      <w:fldChar w:fldCharType="end"/>
                    </w:r>
                  </w:sdtContent>
                </w:sdt>
              </w:p>
              <w:p w14:paraId="157725B2" w14:textId="77777777" w:rsidR="0036698E" w:rsidRPr="0036698E" w:rsidRDefault="0036698E" w:rsidP="0036698E"/>
              <w:p w14:paraId="16EDD6B0" w14:textId="77777777" w:rsidR="0036698E" w:rsidRPr="0036698E" w:rsidRDefault="00327B6E" w:rsidP="0036698E">
                <w:sdt>
                  <w:sdtPr>
                    <w:id w:val="-457489750"/>
                    <w:citation/>
                  </w:sdtPr>
                  <w:sdtEndPr/>
                  <w:sdtContent>
                    <w:r w:rsidR="0036698E" w:rsidRPr="0036698E">
                      <w:fldChar w:fldCharType="begin"/>
                    </w:r>
                    <w:r w:rsidR="0036698E" w:rsidRPr="0036698E">
                      <w:rPr>
                        <w:lang w:val="en-US"/>
                      </w:rPr>
                      <w:instrText xml:space="preserve"> CITATION Ken73 \l 1033 </w:instrText>
                    </w:r>
                    <w:r w:rsidR="0036698E" w:rsidRPr="0036698E">
                      <w:fldChar w:fldCharType="separate"/>
                    </w:r>
                    <w:r w:rsidR="005D771C" w:rsidRPr="005D771C">
                      <w:rPr>
                        <w:noProof/>
                        <w:lang w:val="en-US"/>
                      </w:rPr>
                      <w:t>(Kenner)</w:t>
                    </w:r>
                    <w:r w:rsidR="0036698E" w:rsidRPr="0036698E">
                      <w:fldChar w:fldCharType="end"/>
                    </w:r>
                  </w:sdtContent>
                </w:sdt>
              </w:p>
              <w:p w14:paraId="3D51DA2E" w14:textId="77777777" w:rsidR="0036698E" w:rsidRPr="0036698E" w:rsidRDefault="0036698E" w:rsidP="0036698E"/>
              <w:p w14:paraId="082BF20D" w14:textId="77777777" w:rsidR="0036698E" w:rsidRPr="0036698E" w:rsidRDefault="00327B6E" w:rsidP="0036698E">
                <w:sdt>
                  <w:sdtPr>
                    <w:id w:val="1058821326"/>
                    <w:citation/>
                  </w:sdtPr>
                  <w:sdtEndPr/>
                  <w:sdtContent>
                    <w:r w:rsidR="0036698E" w:rsidRPr="0036698E">
                      <w:fldChar w:fldCharType="begin"/>
                    </w:r>
                    <w:r w:rsidR="0036698E" w:rsidRPr="0036698E">
                      <w:rPr>
                        <w:lang w:val="en-US"/>
                      </w:rPr>
                      <w:instrText xml:space="preserve"> CITATION Sto74 \l 1033 </w:instrText>
                    </w:r>
                    <w:r w:rsidR="0036698E" w:rsidRPr="0036698E">
                      <w:fldChar w:fldCharType="separate"/>
                    </w:r>
                    <w:r w:rsidR="005D771C" w:rsidRPr="005D771C">
                      <w:rPr>
                        <w:noProof/>
                        <w:lang w:val="en-US"/>
                      </w:rPr>
                      <w:t>(Stock)</w:t>
                    </w:r>
                    <w:r w:rsidR="0036698E" w:rsidRPr="0036698E">
                      <w:fldChar w:fldCharType="end"/>
                    </w:r>
                  </w:sdtContent>
                </w:sdt>
              </w:p>
              <w:p w14:paraId="18F1A050" w14:textId="77777777" w:rsidR="0036698E" w:rsidRPr="0036698E" w:rsidRDefault="0036698E" w:rsidP="0036698E"/>
              <w:p w14:paraId="089FCA66" w14:textId="77777777" w:rsidR="003235A7" w:rsidRPr="0036698E" w:rsidRDefault="00327B6E" w:rsidP="0036698E">
                <w:sdt>
                  <w:sdtPr>
                    <w:id w:val="-1163472168"/>
                    <w:citation/>
                  </w:sdtPr>
                  <w:sdtEndPr/>
                  <w:sdtContent>
                    <w:r w:rsidR="0036698E" w:rsidRPr="0036698E">
                      <w:fldChar w:fldCharType="begin"/>
                    </w:r>
                    <w:r w:rsidR="0036698E" w:rsidRPr="0036698E">
                      <w:rPr>
                        <w:lang w:val="en-US"/>
                      </w:rPr>
                      <w:instrText xml:space="preserve"> CITATION Ter93 \l 1033 </w:instrText>
                    </w:r>
                    <w:r w:rsidR="0036698E" w:rsidRPr="0036698E">
                      <w:fldChar w:fldCharType="separate"/>
                    </w:r>
                    <w:r w:rsidR="005D771C" w:rsidRPr="005D771C">
                      <w:rPr>
                        <w:noProof/>
                        <w:lang w:val="en-US"/>
                      </w:rPr>
                      <w:t>(Terrell)</w:t>
                    </w:r>
                    <w:r w:rsidR="0036698E" w:rsidRPr="0036698E">
                      <w:fldChar w:fldCharType="end"/>
                    </w:r>
                  </w:sdtContent>
                </w:sdt>
              </w:p>
            </w:sdtContent>
          </w:sdt>
        </w:tc>
      </w:tr>
    </w:tbl>
    <w:p w14:paraId="0EAD4032" w14:textId="77777777" w:rsidR="00C27FAB" w:rsidRPr="0036698E" w:rsidRDefault="00C27FAB" w:rsidP="00B33145"/>
    <w:sectPr w:rsidR="00C27FAB" w:rsidRPr="0036698E">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7:36:00Z" w:initials="YT">
    <w:p w14:paraId="2AC790CA" w14:textId="116822D8" w:rsidR="005D771C" w:rsidRDefault="005D771C">
      <w:pPr>
        <w:pStyle w:val="CommentText"/>
        <w:rPr>
          <w:lang w:eastAsia="zh-CN"/>
        </w:rPr>
      </w:pPr>
      <w:r>
        <w:rPr>
          <w:rStyle w:val="CommentReference"/>
        </w:rPr>
        <w:annotationRef/>
      </w:r>
      <w:r>
        <w:rPr>
          <w:lang w:eastAsia="zh-CN"/>
        </w:rPr>
        <w:t>Citation:</w:t>
      </w:r>
      <w:r>
        <w:rPr>
          <w:rFonts w:hint="eastAsia"/>
          <w:lang w:eastAsia="zh-CN"/>
        </w:rPr>
        <w:t xml:space="preserve"> </w:t>
      </w:r>
      <w:r>
        <w:rPr>
          <w:lang w:eastAsia="zh-CN"/>
        </w:rPr>
        <w:t xml:space="preserve">Is </w:t>
      </w:r>
      <w:r>
        <w:rPr>
          <w:rFonts w:hint="eastAsia"/>
          <w:lang w:eastAsia="zh-CN"/>
        </w:rPr>
        <w:t>it possible to include the Cantos in the further reading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C790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8FE86" w14:textId="77777777" w:rsidR="00327B6E" w:rsidRDefault="00327B6E" w:rsidP="007A0D55">
      <w:pPr>
        <w:spacing w:after="0" w:line="240" w:lineRule="auto"/>
      </w:pPr>
      <w:r>
        <w:separator/>
      </w:r>
    </w:p>
  </w:endnote>
  <w:endnote w:type="continuationSeparator" w:id="0">
    <w:p w14:paraId="3450D3C0" w14:textId="77777777" w:rsidR="00327B6E" w:rsidRDefault="00327B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116EF" w14:textId="77777777" w:rsidR="00327B6E" w:rsidRDefault="00327B6E" w:rsidP="007A0D55">
      <w:pPr>
        <w:spacing w:after="0" w:line="240" w:lineRule="auto"/>
      </w:pPr>
      <w:r>
        <w:separator/>
      </w:r>
    </w:p>
  </w:footnote>
  <w:footnote w:type="continuationSeparator" w:id="0">
    <w:p w14:paraId="5DDE8352" w14:textId="77777777" w:rsidR="00327B6E" w:rsidRDefault="00327B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A582" w14:textId="77777777" w:rsidR="0036698E" w:rsidRDefault="003669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291F7A" w14:textId="77777777" w:rsidR="0036698E" w:rsidRDefault="003669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08"/>
    <w:rsid w:val="00032559"/>
    <w:rsid w:val="00052040"/>
    <w:rsid w:val="00075CF2"/>
    <w:rsid w:val="000B25AE"/>
    <w:rsid w:val="000B55AB"/>
    <w:rsid w:val="000D24DC"/>
    <w:rsid w:val="00101B2E"/>
    <w:rsid w:val="00116FA0"/>
    <w:rsid w:val="00145908"/>
    <w:rsid w:val="0015114C"/>
    <w:rsid w:val="001A21F3"/>
    <w:rsid w:val="001A2537"/>
    <w:rsid w:val="001A6A06"/>
    <w:rsid w:val="001E1D7A"/>
    <w:rsid w:val="00210C03"/>
    <w:rsid w:val="002162E2"/>
    <w:rsid w:val="00225C5A"/>
    <w:rsid w:val="00230B10"/>
    <w:rsid w:val="00234353"/>
    <w:rsid w:val="00244BB0"/>
    <w:rsid w:val="002A0A0D"/>
    <w:rsid w:val="002B0B37"/>
    <w:rsid w:val="0030662D"/>
    <w:rsid w:val="003175D4"/>
    <w:rsid w:val="003235A7"/>
    <w:rsid w:val="00327B6E"/>
    <w:rsid w:val="0036698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71C"/>
    <w:rsid w:val="005F26D7"/>
    <w:rsid w:val="005F5450"/>
    <w:rsid w:val="006817E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61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59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908"/>
    <w:rPr>
      <w:rFonts w:ascii="Lucida Grande" w:hAnsi="Lucida Grande" w:cs="Lucida Grande"/>
      <w:sz w:val="18"/>
      <w:szCs w:val="18"/>
    </w:rPr>
  </w:style>
  <w:style w:type="character" w:styleId="Hyperlink">
    <w:name w:val="Hyperlink"/>
    <w:basedOn w:val="DefaultParagraphFont"/>
    <w:uiPriority w:val="99"/>
    <w:unhideWhenUsed/>
    <w:rsid w:val="0036698E"/>
    <w:rPr>
      <w:color w:val="0563C1" w:themeColor="hyperlink"/>
      <w:u w:val="single"/>
    </w:rPr>
  </w:style>
  <w:style w:type="character" w:styleId="FollowedHyperlink">
    <w:name w:val="FollowedHyperlink"/>
    <w:basedOn w:val="DefaultParagraphFont"/>
    <w:uiPriority w:val="99"/>
    <w:semiHidden/>
    <w:rsid w:val="003175D4"/>
    <w:rPr>
      <w:color w:val="954F72" w:themeColor="followedHyperlink"/>
      <w:u w:val="single"/>
    </w:rPr>
  </w:style>
  <w:style w:type="character" w:styleId="CommentReference">
    <w:name w:val="annotation reference"/>
    <w:basedOn w:val="DefaultParagraphFont"/>
    <w:uiPriority w:val="99"/>
    <w:semiHidden/>
    <w:unhideWhenUsed/>
    <w:rsid w:val="003175D4"/>
    <w:rPr>
      <w:sz w:val="18"/>
      <w:szCs w:val="18"/>
    </w:rPr>
  </w:style>
  <w:style w:type="paragraph" w:styleId="CommentText">
    <w:name w:val="annotation text"/>
    <w:basedOn w:val="Normal"/>
    <w:link w:val="CommentTextChar"/>
    <w:uiPriority w:val="99"/>
    <w:semiHidden/>
    <w:unhideWhenUsed/>
    <w:rsid w:val="003175D4"/>
    <w:pPr>
      <w:spacing w:line="240" w:lineRule="auto"/>
    </w:pPr>
    <w:rPr>
      <w:sz w:val="24"/>
      <w:szCs w:val="24"/>
    </w:rPr>
  </w:style>
  <w:style w:type="character" w:customStyle="1" w:styleId="CommentTextChar">
    <w:name w:val="Comment Text Char"/>
    <w:basedOn w:val="DefaultParagraphFont"/>
    <w:link w:val="CommentText"/>
    <w:uiPriority w:val="99"/>
    <w:semiHidden/>
    <w:rsid w:val="003175D4"/>
    <w:rPr>
      <w:sz w:val="24"/>
      <w:szCs w:val="24"/>
    </w:rPr>
  </w:style>
  <w:style w:type="paragraph" w:styleId="CommentSubject">
    <w:name w:val="annotation subject"/>
    <w:basedOn w:val="CommentText"/>
    <w:next w:val="CommentText"/>
    <w:link w:val="CommentSubjectChar"/>
    <w:uiPriority w:val="99"/>
    <w:semiHidden/>
    <w:unhideWhenUsed/>
    <w:rsid w:val="003175D4"/>
    <w:rPr>
      <w:b/>
      <w:bCs/>
      <w:sz w:val="20"/>
      <w:szCs w:val="20"/>
    </w:rPr>
  </w:style>
  <w:style w:type="character" w:customStyle="1" w:styleId="CommentSubjectChar">
    <w:name w:val="Comment Subject Char"/>
    <w:basedOn w:val="CommentTextChar"/>
    <w:link w:val="CommentSubject"/>
    <w:uiPriority w:val="99"/>
    <w:semiHidden/>
    <w:rsid w:val="00317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1270">
      <w:bodyDiv w:val="1"/>
      <w:marLeft w:val="0"/>
      <w:marRight w:val="0"/>
      <w:marTop w:val="0"/>
      <w:marBottom w:val="0"/>
      <w:divBdr>
        <w:top w:val="none" w:sz="0" w:space="0" w:color="auto"/>
        <w:left w:val="none" w:sz="0" w:space="0" w:color="auto"/>
        <w:bottom w:val="none" w:sz="0" w:space="0" w:color="auto"/>
        <w:right w:val="none" w:sz="0" w:space="0" w:color="auto"/>
      </w:divBdr>
    </w:div>
    <w:div w:id="249780740">
      <w:bodyDiv w:val="1"/>
      <w:marLeft w:val="0"/>
      <w:marRight w:val="0"/>
      <w:marTop w:val="0"/>
      <w:marBottom w:val="0"/>
      <w:divBdr>
        <w:top w:val="none" w:sz="0" w:space="0" w:color="auto"/>
        <w:left w:val="none" w:sz="0" w:space="0" w:color="auto"/>
        <w:bottom w:val="none" w:sz="0" w:space="0" w:color="auto"/>
        <w:right w:val="none" w:sz="0" w:space="0" w:color="auto"/>
      </w:divBdr>
    </w:div>
    <w:div w:id="1146775523">
      <w:bodyDiv w:val="1"/>
      <w:marLeft w:val="0"/>
      <w:marRight w:val="0"/>
      <w:marTop w:val="0"/>
      <w:marBottom w:val="0"/>
      <w:divBdr>
        <w:top w:val="none" w:sz="0" w:space="0" w:color="auto"/>
        <w:left w:val="none" w:sz="0" w:space="0" w:color="auto"/>
        <w:bottom w:val="none" w:sz="0" w:space="0" w:color="auto"/>
        <w:right w:val="none" w:sz="0" w:space="0" w:color="auto"/>
      </w:divBdr>
    </w:div>
    <w:div w:id="1375498685">
      <w:bodyDiv w:val="1"/>
      <w:marLeft w:val="0"/>
      <w:marRight w:val="0"/>
      <w:marTop w:val="0"/>
      <w:marBottom w:val="0"/>
      <w:divBdr>
        <w:top w:val="none" w:sz="0" w:space="0" w:color="auto"/>
        <w:left w:val="none" w:sz="0" w:space="0" w:color="auto"/>
        <w:bottom w:val="none" w:sz="0" w:space="0" w:color="auto"/>
        <w:right w:val="none" w:sz="0" w:space="0" w:color="auto"/>
      </w:divBdr>
    </w:div>
    <w:div w:id="1801150351">
      <w:bodyDiv w:val="1"/>
      <w:marLeft w:val="0"/>
      <w:marRight w:val="0"/>
      <w:marTop w:val="0"/>
      <w:marBottom w:val="0"/>
      <w:divBdr>
        <w:top w:val="none" w:sz="0" w:space="0" w:color="auto"/>
        <w:left w:val="none" w:sz="0" w:space="0" w:color="auto"/>
        <w:bottom w:val="none" w:sz="0" w:space="0" w:color="auto"/>
        <w:right w:val="none" w:sz="0" w:space="0" w:color="auto"/>
      </w:divBdr>
    </w:div>
    <w:div w:id="1851602204">
      <w:bodyDiv w:val="1"/>
      <w:marLeft w:val="0"/>
      <w:marRight w:val="0"/>
      <w:marTop w:val="0"/>
      <w:marBottom w:val="0"/>
      <w:divBdr>
        <w:top w:val="none" w:sz="0" w:space="0" w:color="auto"/>
        <w:left w:val="none" w:sz="0" w:space="0" w:color="auto"/>
        <w:bottom w:val="none" w:sz="0" w:space="0" w:color="auto"/>
        <w:right w:val="none" w:sz="0" w:space="0" w:color="auto"/>
      </w:divBdr>
    </w:div>
    <w:div w:id="20885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4428D4E818F1478A6C967B61B9B6D3"/>
        <w:category>
          <w:name w:val="General"/>
          <w:gallery w:val="placeholder"/>
        </w:category>
        <w:types>
          <w:type w:val="bbPlcHdr"/>
        </w:types>
        <w:behaviors>
          <w:behavior w:val="content"/>
        </w:behaviors>
        <w:guid w:val="{5BEF22B3-9610-2340-8634-DEBB5067F0FC}"/>
      </w:docPartPr>
      <w:docPartBody>
        <w:p w:rsidR="0016631C" w:rsidRDefault="008F5AC4">
          <w:pPr>
            <w:pStyle w:val="1D4428D4E818F1478A6C967B61B9B6D3"/>
          </w:pPr>
          <w:r w:rsidRPr="00CC586D">
            <w:rPr>
              <w:rStyle w:val="PlaceholderText"/>
              <w:b/>
              <w:color w:val="FFFFFF" w:themeColor="background1"/>
            </w:rPr>
            <w:t>[Salutation]</w:t>
          </w:r>
        </w:p>
      </w:docPartBody>
    </w:docPart>
    <w:docPart>
      <w:docPartPr>
        <w:name w:val="D219E43C1705CD498C69C30D5286EF64"/>
        <w:category>
          <w:name w:val="General"/>
          <w:gallery w:val="placeholder"/>
        </w:category>
        <w:types>
          <w:type w:val="bbPlcHdr"/>
        </w:types>
        <w:behaviors>
          <w:behavior w:val="content"/>
        </w:behaviors>
        <w:guid w:val="{8A1AF274-5CCD-E64A-BF38-A37218083FAD}"/>
      </w:docPartPr>
      <w:docPartBody>
        <w:p w:rsidR="0016631C" w:rsidRDefault="008F5AC4">
          <w:pPr>
            <w:pStyle w:val="D219E43C1705CD498C69C30D5286EF64"/>
          </w:pPr>
          <w:r>
            <w:rPr>
              <w:rStyle w:val="PlaceholderText"/>
            </w:rPr>
            <w:t>[First name]</w:t>
          </w:r>
        </w:p>
      </w:docPartBody>
    </w:docPart>
    <w:docPart>
      <w:docPartPr>
        <w:name w:val="59BED96D89B3F64286E73896A102C639"/>
        <w:category>
          <w:name w:val="General"/>
          <w:gallery w:val="placeholder"/>
        </w:category>
        <w:types>
          <w:type w:val="bbPlcHdr"/>
        </w:types>
        <w:behaviors>
          <w:behavior w:val="content"/>
        </w:behaviors>
        <w:guid w:val="{C5F8A6C7-ABA5-9C4D-9DC0-20E1DAC557AB}"/>
      </w:docPartPr>
      <w:docPartBody>
        <w:p w:rsidR="0016631C" w:rsidRDefault="008F5AC4">
          <w:pPr>
            <w:pStyle w:val="59BED96D89B3F64286E73896A102C639"/>
          </w:pPr>
          <w:r>
            <w:rPr>
              <w:rStyle w:val="PlaceholderText"/>
            </w:rPr>
            <w:t>[Middle name]</w:t>
          </w:r>
        </w:p>
      </w:docPartBody>
    </w:docPart>
    <w:docPart>
      <w:docPartPr>
        <w:name w:val="17516ABF9CD93F4AB34FB4C803DC3E02"/>
        <w:category>
          <w:name w:val="General"/>
          <w:gallery w:val="placeholder"/>
        </w:category>
        <w:types>
          <w:type w:val="bbPlcHdr"/>
        </w:types>
        <w:behaviors>
          <w:behavior w:val="content"/>
        </w:behaviors>
        <w:guid w:val="{71DF7D2F-A526-F84C-8920-23B29682F264}"/>
      </w:docPartPr>
      <w:docPartBody>
        <w:p w:rsidR="0016631C" w:rsidRDefault="008F5AC4">
          <w:pPr>
            <w:pStyle w:val="17516ABF9CD93F4AB34FB4C803DC3E02"/>
          </w:pPr>
          <w:r>
            <w:rPr>
              <w:rStyle w:val="PlaceholderText"/>
            </w:rPr>
            <w:t>[Last name]</w:t>
          </w:r>
        </w:p>
      </w:docPartBody>
    </w:docPart>
    <w:docPart>
      <w:docPartPr>
        <w:name w:val="3433CAE05129C9488627A46912BA8F0A"/>
        <w:category>
          <w:name w:val="General"/>
          <w:gallery w:val="placeholder"/>
        </w:category>
        <w:types>
          <w:type w:val="bbPlcHdr"/>
        </w:types>
        <w:behaviors>
          <w:behavior w:val="content"/>
        </w:behaviors>
        <w:guid w:val="{D119E03E-C282-A443-9ED5-BCF3C6CFCCE6}"/>
      </w:docPartPr>
      <w:docPartBody>
        <w:p w:rsidR="0016631C" w:rsidRDefault="008F5AC4">
          <w:pPr>
            <w:pStyle w:val="3433CAE05129C9488627A46912BA8F0A"/>
          </w:pPr>
          <w:r>
            <w:rPr>
              <w:rStyle w:val="PlaceholderText"/>
            </w:rPr>
            <w:t>[Enter your biography]</w:t>
          </w:r>
        </w:p>
      </w:docPartBody>
    </w:docPart>
    <w:docPart>
      <w:docPartPr>
        <w:name w:val="B8689E0A9A266B46BD328E1E0D10A0E1"/>
        <w:category>
          <w:name w:val="General"/>
          <w:gallery w:val="placeholder"/>
        </w:category>
        <w:types>
          <w:type w:val="bbPlcHdr"/>
        </w:types>
        <w:behaviors>
          <w:behavior w:val="content"/>
        </w:behaviors>
        <w:guid w:val="{57447430-55F2-DB4B-95F1-13B8CF560F79}"/>
      </w:docPartPr>
      <w:docPartBody>
        <w:p w:rsidR="0016631C" w:rsidRDefault="008F5AC4">
          <w:pPr>
            <w:pStyle w:val="B8689E0A9A266B46BD328E1E0D10A0E1"/>
          </w:pPr>
          <w:r>
            <w:rPr>
              <w:rStyle w:val="PlaceholderText"/>
            </w:rPr>
            <w:t>[Enter the institution with which you are affiliated]</w:t>
          </w:r>
        </w:p>
      </w:docPartBody>
    </w:docPart>
    <w:docPart>
      <w:docPartPr>
        <w:name w:val="B2C6D83928DC6F4EB26D703DD7809303"/>
        <w:category>
          <w:name w:val="General"/>
          <w:gallery w:val="placeholder"/>
        </w:category>
        <w:types>
          <w:type w:val="bbPlcHdr"/>
        </w:types>
        <w:behaviors>
          <w:behavior w:val="content"/>
        </w:behaviors>
        <w:guid w:val="{B31DB949-8F1C-2640-BCAA-46CA97C4BD8D}"/>
      </w:docPartPr>
      <w:docPartBody>
        <w:p w:rsidR="0016631C" w:rsidRDefault="008F5AC4">
          <w:pPr>
            <w:pStyle w:val="B2C6D83928DC6F4EB26D703DD7809303"/>
          </w:pPr>
          <w:r w:rsidRPr="00EF74F7">
            <w:rPr>
              <w:b/>
              <w:color w:val="808080" w:themeColor="background1" w:themeShade="80"/>
            </w:rPr>
            <w:t>[Enter the headword for your article]</w:t>
          </w:r>
        </w:p>
      </w:docPartBody>
    </w:docPart>
    <w:docPart>
      <w:docPartPr>
        <w:name w:val="F192BF8E33C6284A92F7C7BC01D6D603"/>
        <w:category>
          <w:name w:val="General"/>
          <w:gallery w:val="placeholder"/>
        </w:category>
        <w:types>
          <w:type w:val="bbPlcHdr"/>
        </w:types>
        <w:behaviors>
          <w:behavior w:val="content"/>
        </w:behaviors>
        <w:guid w:val="{7002169D-AEE8-654B-82A1-291973C5C211}"/>
      </w:docPartPr>
      <w:docPartBody>
        <w:p w:rsidR="0016631C" w:rsidRDefault="008F5AC4">
          <w:pPr>
            <w:pStyle w:val="F192BF8E33C6284A92F7C7BC01D6D6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C72552297E8043B424C9E1FFDC1554"/>
        <w:category>
          <w:name w:val="General"/>
          <w:gallery w:val="placeholder"/>
        </w:category>
        <w:types>
          <w:type w:val="bbPlcHdr"/>
        </w:types>
        <w:behaviors>
          <w:behavior w:val="content"/>
        </w:behaviors>
        <w:guid w:val="{3C91186F-DB85-0A42-ABE3-3934F61F051A}"/>
      </w:docPartPr>
      <w:docPartBody>
        <w:p w:rsidR="0016631C" w:rsidRDefault="008F5AC4">
          <w:pPr>
            <w:pStyle w:val="F6C72552297E8043B424C9E1FFDC15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5BAE3F3B50174596FF3C74CE855D22"/>
        <w:category>
          <w:name w:val="General"/>
          <w:gallery w:val="placeholder"/>
        </w:category>
        <w:types>
          <w:type w:val="bbPlcHdr"/>
        </w:types>
        <w:behaviors>
          <w:behavior w:val="content"/>
        </w:behaviors>
        <w:guid w:val="{0D99DAED-4D2F-3348-A93E-E40C66A5A39D}"/>
      </w:docPartPr>
      <w:docPartBody>
        <w:p w:rsidR="0016631C" w:rsidRDefault="008F5AC4">
          <w:pPr>
            <w:pStyle w:val="7D5BAE3F3B50174596FF3C74CE855D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74B6DF2D39EB40AD6AFAE816F8BED5"/>
        <w:category>
          <w:name w:val="General"/>
          <w:gallery w:val="placeholder"/>
        </w:category>
        <w:types>
          <w:type w:val="bbPlcHdr"/>
        </w:types>
        <w:behaviors>
          <w:behavior w:val="content"/>
        </w:behaviors>
        <w:guid w:val="{6862DA44-9CCE-2E4D-A688-8167B034541A}"/>
      </w:docPartPr>
      <w:docPartBody>
        <w:p w:rsidR="0016631C" w:rsidRDefault="008F5AC4">
          <w:pPr>
            <w:pStyle w:val="6474B6DF2D39EB40AD6AFAE816F8BE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1C"/>
    <w:rsid w:val="0016631C"/>
    <w:rsid w:val="008F5AC4"/>
    <w:rsid w:val="00A253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4428D4E818F1478A6C967B61B9B6D3">
    <w:name w:val="1D4428D4E818F1478A6C967B61B9B6D3"/>
  </w:style>
  <w:style w:type="paragraph" w:customStyle="1" w:styleId="D219E43C1705CD498C69C30D5286EF64">
    <w:name w:val="D219E43C1705CD498C69C30D5286EF64"/>
  </w:style>
  <w:style w:type="paragraph" w:customStyle="1" w:styleId="59BED96D89B3F64286E73896A102C639">
    <w:name w:val="59BED96D89B3F64286E73896A102C639"/>
  </w:style>
  <w:style w:type="paragraph" w:customStyle="1" w:styleId="17516ABF9CD93F4AB34FB4C803DC3E02">
    <w:name w:val="17516ABF9CD93F4AB34FB4C803DC3E02"/>
  </w:style>
  <w:style w:type="paragraph" w:customStyle="1" w:styleId="3433CAE05129C9488627A46912BA8F0A">
    <w:name w:val="3433CAE05129C9488627A46912BA8F0A"/>
  </w:style>
  <w:style w:type="paragraph" w:customStyle="1" w:styleId="B8689E0A9A266B46BD328E1E0D10A0E1">
    <w:name w:val="B8689E0A9A266B46BD328E1E0D10A0E1"/>
  </w:style>
  <w:style w:type="paragraph" w:customStyle="1" w:styleId="B2C6D83928DC6F4EB26D703DD7809303">
    <w:name w:val="B2C6D83928DC6F4EB26D703DD7809303"/>
  </w:style>
  <w:style w:type="paragraph" w:customStyle="1" w:styleId="F192BF8E33C6284A92F7C7BC01D6D603">
    <w:name w:val="F192BF8E33C6284A92F7C7BC01D6D603"/>
  </w:style>
  <w:style w:type="paragraph" w:customStyle="1" w:styleId="F6C72552297E8043B424C9E1FFDC1554">
    <w:name w:val="F6C72552297E8043B424C9E1FFDC1554"/>
  </w:style>
  <w:style w:type="paragraph" w:customStyle="1" w:styleId="7D5BAE3F3B50174596FF3C74CE855D22">
    <w:name w:val="7D5BAE3F3B50174596FF3C74CE855D22"/>
  </w:style>
  <w:style w:type="paragraph" w:customStyle="1" w:styleId="6474B6DF2D39EB40AD6AFAE816F8BED5">
    <w:name w:val="6474B6DF2D39EB40AD6AFAE816F8B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Coo022</b:Tag>
    <b:SourceType>Book</b:SourceType>
    <b:Guid>{BFCDDB77-5C19-DF4B-85FF-934822F63828}</b:Guid>
    <b:Author>
      <b:Author>
        <b:NameList>
          <b:Person>
            <b:Last>Cookson</b:Last>
            <b:First>William</b:First>
          </b:Person>
        </b:NameList>
      </b:Author>
    </b:Author>
    <b:Title>A Guide to the Cantos of Ezra Pound</b:Title>
    <b:City>New York</b:City>
    <b:Publisher>Persea Books</b:Publisher>
    <b:Year>2002</b:Year>
    <b:Edition>Revised Edition</b:Edition>
    <b:RefOrder>1</b:RefOrder>
  </b:Source>
  <b:Source>
    <b:Tag>Fro82</b:Tag>
    <b:SourceType>Book</b:SourceType>
    <b:Guid>{1A2A7BC2-8871-E346-8312-DD18CCF15A69}</b:Guid>
    <b:Author>
      <b:Author>
        <b:NameList>
          <b:Person>
            <b:Last>Froula</b:Last>
            <b:First>Christine</b:First>
          </b:Person>
        </b:NameList>
      </b:Author>
    </b:Author>
    <b:Title>A Guide to Ezra Pound’s Selected Poems</b:Title>
    <b:City>New York</b:City>
    <b:Publisher>New Directions</b:Publisher>
    <b:Year>1982</b:Year>
    <b:RefOrder>2</b:RefOrder>
  </b:Source>
  <b:Source>
    <b:Tag>Gin74</b:Tag>
    <b:SourceType>BookSection</b:SourceType>
    <b:Guid>{A1EC4BF1-41B6-DF4F-8F27-9E10326B1234}</b:Guid>
    <b:Author>
      <b:Author>
        <b:NameList>
          <b:Person>
            <b:Last>Ginsberg</b:Last>
            <b:First>Allen</b:First>
          </b:Person>
        </b:NameList>
      </b:Author>
      <b:Editor>
        <b:NameList>
          <b:Person>
            <b:Last>Ball</b:Last>
            <b:First>Gordon</b:First>
          </b:Person>
        </b:NameList>
      </b:Editor>
    </b:Author>
    <b:Title>On the Death of Ezra Pound</b:Title>
    <b:City>New York</b:City>
    <b:Publisher>McGraw Hill</b:Publisher>
    <b:Year>1974</b:Year>
    <b:Pages>179-87</b:Pages>
    <b:BookTitle>Allen Verbatim: Lectures on Poetry, Politics, Consciousness</b:BookTitle>
    <b:RefOrder>3</b:RefOrder>
  </b:Source>
  <b:Source>
    <b:Tag>Hal62</b:Tag>
    <b:SourceType>JournalArticle</b:SourceType>
    <b:Guid>{B9DE08CB-BA4D-4848-91D8-4109AAFCE70A}</b:Guid>
    <b:Title>Confucianism, fascism, and treason: An interview with Ezra Pound</b:Title>
    <b:Year>1962</b:Year>
    <b:Volume>28</b:Volume>
    <b:Author>
      <b:Author>
        <b:NameList>
          <b:Person>
            <b:Last>Hall</b:Last>
            <b:First>Donald</b:First>
          </b:Person>
        </b:NameList>
      </b:Author>
    </b:Author>
    <b:JournalName>The Paris Review</b:JournalName>
    <b:Issue>Summer-Fall</b:Issue>
    <b:RefOrder>4</b:RefOrder>
  </b:Source>
  <b:Source>
    <b:Tag>Ken73</b:Tag>
    <b:SourceType>Book</b:SourceType>
    <b:Guid>{BD98A82E-AC5D-7543-9DE7-325AC7538BA1}</b:Guid>
    <b:Title>The Pound Era</b:Title>
    <b:Publisher>New Directions</b:Publisher>
    <b:City>New York</b:City>
    <b:Year>1973</b:Year>
    <b:Author>
      <b:Author>
        <b:NameList>
          <b:Person>
            <b:Last>Kenner</b:Last>
            <b:First>Hugh</b:First>
          </b:Person>
        </b:NameList>
      </b:Author>
    </b:Author>
    <b:RefOrder>5</b:RefOrder>
  </b:Source>
  <b:Source>
    <b:Tag>Sto74</b:Tag>
    <b:SourceType>Book</b:SourceType>
    <b:Guid>{E75BA4E8-08DE-4B42-878F-749ED0C3B28B}</b:Guid>
    <b:Author>
      <b:Author>
        <b:NameList>
          <b:Person>
            <b:Last>Stock</b:Last>
            <b:First>Noel</b:First>
          </b:Person>
        </b:NameList>
      </b:Author>
    </b:Author>
    <b:Title>The Life of Ezra Pound</b:Title>
    <b:City>New York</b:City>
    <b:Publisher>Avon Books</b:Publisher>
    <b:Year>1974</b:Year>
    <b:RefOrder>6</b:RefOrder>
  </b:Source>
  <b:Source>
    <b:Tag>Ter93</b:Tag>
    <b:SourceType>Book</b:SourceType>
    <b:Guid>{23870970-CB05-144D-A912-A8267257273E}</b:Guid>
    <b:Author>
      <b:Author>
        <b:NameList>
          <b:Person>
            <b:Last>Terrell</b:Last>
            <b:First>Carroll</b:First>
            <b:Middle>F.</b:Middle>
          </b:Person>
        </b:NameList>
      </b:Author>
    </b:Author>
    <b:Title>A Companion to the Cantos of Ezra Pound</b:Title>
    <b:City>Berkeley and Los Angeles</b:City>
    <b:Publisher>U of California P</b:Publisher>
    <b:Year>1993</b:Year>
    <b:RefOrder>7</b:RefOrder>
  </b:Source>
</b:Sources>
</file>

<file path=customXml/itemProps1.xml><?xml version="1.0" encoding="utf-8"?>
<ds:datastoreItem xmlns:ds="http://schemas.openxmlformats.org/officeDocument/2006/customXml" ds:itemID="{9E49F49D-D1F2-7743-83BF-894B116C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15</TotalTime>
  <Pages>4</Pages>
  <Words>1515</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4</cp:revision>
  <dcterms:created xsi:type="dcterms:W3CDTF">2015-10-19T17:00:00Z</dcterms:created>
  <dcterms:modified xsi:type="dcterms:W3CDTF">2016-01-03T07:46:00Z</dcterms:modified>
</cp:coreProperties>
</file>