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19C68F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A155A8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03F945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122A7B2A" w14:textId="77777777" w:rsidR="00B574C9" w:rsidRDefault="00FC1E5E" w:rsidP="00FC1E5E">
                <w:r>
                  <w:t>Tony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2C3BE8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2A70BA00" w14:textId="77777777" w:rsidR="00B574C9" w:rsidRDefault="00FC1E5E" w:rsidP="00FC1E5E">
                <w:r>
                  <w:t>Voss</w:t>
                </w:r>
              </w:p>
            </w:tc>
          </w:sdtContent>
        </w:sdt>
      </w:tr>
      <w:tr w:rsidR="00B574C9" w14:paraId="09CD638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74C4B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2AAB42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3F8F6A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770107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13406E3" w14:textId="77777777" w:rsidR="00B574C9" w:rsidRDefault="002737AA" w:rsidP="00B574C9">
                <w:r w:rsidRPr="00C53E05">
                  <w:rPr>
                    <w:rFonts w:ascii="Calibri" w:eastAsia="Times New Roman" w:hAnsi="Calibri" w:cs="Times New Roman"/>
                    <w:color w:val="000000"/>
                    <w:sz w:val="24"/>
                    <w:szCs w:val="20"/>
                    <w:lang w:val="en-CA"/>
                  </w:rPr>
                  <w:t>Nelson Mandela Metropolitan University</w:t>
                </w:r>
              </w:p>
            </w:tc>
          </w:sdtContent>
        </w:sdt>
      </w:tr>
    </w:tbl>
    <w:p w14:paraId="511B236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ECADE8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92941B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F881941" w14:textId="77777777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C79ABD" w14:textId="77777777" w:rsidR="003F0D73" w:rsidRPr="00FB589A" w:rsidRDefault="00FC1E5E" w:rsidP="00FC1E5E">
                <w:r w:rsidRPr="00FC1E5E">
                  <w:t>Campbell, Roy (1901-1957)</w:t>
                </w:r>
              </w:p>
            </w:tc>
          </w:sdtContent>
        </w:sdt>
      </w:tr>
      <w:tr w:rsidR="00464699" w14:paraId="40780B07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3DAF3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BFD15E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4BE5E8" w14:textId="77777777" w:rsidR="00E85A05" w:rsidRDefault="00FC1E5E" w:rsidP="00AB127A">
                <w:r>
                  <w:t>Roy Campbell was a South African poet and satirist</w:t>
                </w:r>
                <w:r w:rsidR="00AB127A">
                  <w:t xml:space="preserve">. </w:t>
                </w:r>
                <w:r w:rsidR="00AB127A" w:rsidRPr="00AB127A">
                  <w:t>Born Ignatius Royston Dunnachie Campbell</w:t>
                </w:r>
                <w:r w:rsidR="00083B3D">
                  <w:t xml:space="preserve"> and</w:t>
                </w:r>
                <w:r w:rsidR="00AB127A">
                  <w:t xml:space="preserve"> s</w:t>
                </w:r>
                <w:r w:rsidR="00AB127A" w:rsidRPr="00BC2FCC">
                  <w:t xml:space="preserve">chooled in South Africa, Campbell went to Oxford in 1919, but never entered the university. After </w:t>
                </w:r>
                <w:r w:rsidR="00AB127A">
                  <w:t xml:space="preserve">his </w:t>
                </w:r>
                <w:r w:rsidR="00AB127A" w:rsidRPr="00BC2FCC">
                  <w:t xml:space="preserve">marriage to Mary Garman in 1922, and the success of his first major work, he returned briefly to Natal, to edit </w:t>
                </w:r>
                <w:r w:rsidR="00AB127A" w:rsidRPr="00BC2FCC">
                  <w:rPr>
                    <w:i/>
                  </w:rPr>
                  <w:t xml:space="preserve">Voorslag, </w:t>
                </w:r>
                <w:r w:rsidR="00AB127A" w:rsidRPr="00BC2FCC">
                  <w:t>but thereafter lived most of his life in France, Spain and Portugal, apart from army service in Africa and residence in England during World War II.</w:t>
                </w:r>
              </w:p>
            </w:tc>
          </w:sdtContent>
        </w:sdt>
      </w:tr>
      <w:tr w:rsidR="003F0D73" w14:paraId="6873CE8B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CFE60E" w14:textId="77777777" w:rsidR="00FC1E5E" w:rsidRDefault="00076F98" w:rsidP="00FC1E5E">
                <w:sdt>
                  <w:sdtPr>
                    <w:alias w:val="Abstract"/>
                    <w:tag w:val="abstract"/>
                    <w:id w:val="1351768402"/>
                    <w:placeholder>
                      <w:docPart w:val="5D7D50129C0D4DCC833230E3A5DCD33A"/>
                    </w:placeholder>
                  </w:sdtPr>
                  <w:sdtEndPr/>
                  <w:sdtContent>
                    <w:r w:rsidR="00AB127A">
                      <w:t xml:space="preserve">Roy Campbell was a South African poet and satirist. </w:t>
                    </w:r>
                    <w:r w:rsidR="00AB127A" w:rsidRPr="00AB127A">
                      <w:t>Born Ignatius Royston Dunnachie Campbell</w:t>
                    </w:r>
                    <w:r w:rsidR="00083B3D">
                      <w:t xml:space="preserve"> and</w:t>
                    </w:r>
                    <w:r w:rsidR="00AB127A">
                      <w:t xml:space="preserve"> s</w:t>
                    </w:r>
                    <w:r w:rsidR="00AB127A" w:rsidRPr="00BC2FCC">
                      <w:t xml:space="preserve">chooled in South Africa, Campbell went to Oxford in 1919, but never entered the university. After </w:t>
                    </w:r>
                    <w:r w:rsidR="00AB127A">
                      <w:t xml:space="preserve">his </w:t>
                    </w:r>
                    <w:r w:rsidR="00AB127A" w:rsidRPr="00BC2FCC">
                      <w:t xml:space="preserve">marriage to Mary Garman in 1922, and the success of his first major work, he returned briefly to Natal, to edit </w:t>
                    </w:r>
                    <w:r w:rsidR="00AB127A" w:rsidRPr="00BC2FCC">
                      <w:rPr>
                        <w:i/>
                      </w:rPr>
                      <w:t xml:space="preserve">Voorslag, </w:t>
                    </w:r>
                    <w:r w:rsidR="00AB127A" w:rsidRPr="00BC2FCC">
                      <w:t>but thereafter lived most of his life in France, Spain and Portugal, apart from army service in Africa and residence in England during World War II.</w:t>
                    </w:r>
                  </w:sdtContent>
                </w:sdt>
              </w:p>
              <w:p w14:paraId="19B977F0" w14:textId="77777777" w:rsidR="00AB127A" w:rsidRDefault="00AB127A" w:rsidP="00FC1E5E">
                <w:pPr>
                  <w:rPr>
                    <w:i/>
                  </w:rPr>
                </w:pPr>
              </w:p>
              <w:p w14:paraId="7B3AE549" w14:textId="77777777" w:rsidR="00FC1E5E" w:rsidRPr="00BC2FCC" w:rsidRDefault="00FC1E5E" w:rsidP="00FC1E5E">
                <w:r w:rsidRPr="00BC2FCC">
                  <w:rPr>
                    <w:i/>
                  </w:rPr>
                  <w:t xml:space="preserve">The Flaming Terrapin </w:t>
                </w:r>
                <w:r w:rsidRPr="00BC2FCC">
                  <w:t>(1924), an epic manifesto, established the essentials of Campbell’s poetic style: exuberant imagery, traditional versification, idiosyncratic intensity and self-projection (</w:t>
                </w:r>
                <w:r>
                  <w:t>‘</w:t>
                </w:r>
                <w:r w:rsidRPr="00BC2FCC">
                  <w:t>The man clear-cut, against the last horizon</w:t>
                </w:r>
                <w:r>
                  <w:t>’</w:t>
                </w:r>
                <w:r w:rsidRPr="00BC2FCC">
                  <w:t xml:space="preserve">). The </w:t>
                </w:r>
                <w:r w:rsidR="00AB127A">
                  <w:t xml:space="preserve">poetic </w:t>
                </w:r>
                <w:r w:rsidRPr="00BC2FCC">
                  <w:t xml:space="preserve">persona </w:t>
                </w:r>
                <w:r w:rsidR="00AB127A">
                  <w:t>wa</w:t>
                </w:r>
                <w:r w:rsidRPr="00BC2FCC">
                  <w:t xml:space="preserve">s usually a romantic figure from an imagined pre-industrial world. Successive disappointments (the short life of </w:t>
                </w:r>
                <w:r w:rsidRPr="00BC2FCC">
                  <w:rPr>
                    <w:i/>
                  </w:rPr>
                  <w:t>Voorslag</w:t>
                </w:r>
                <w:r w:rsidRPr="00BC2FCC">
                  <w:t xml:space="preserve"> and his marriage threatened by adultery) released hilarious satire: </w:t>
                </w:r>
                <w:r w:rsidRPr="00BC2FCC">
                  <w:rPr>
                    <w:i/>
                  </w:rPr>
                  <w:t xml:space="preserve">The Wayzgoose </w:t>
                </w:r>
                <w:r w:rsidRPr="00BC2FCC">
                  <w:t>(1930) is a lampoon of the pretensions of settler culture;</w:t>
                </w:r>
                <w:r>
                  <w:t xml:space="preserve"> </w:t>
                </w:r>
                <w:r w:rsidRPr="00BC2FCC">
                  <w:rPr>
                    <w:i/>
                  </w:rPr>
                  <w:t>The Georgiad</w:t>
                </w:r>
                <w:r w:rsidR="00AB127A">
                  <w:rPr>
                    <w:i/>
                  </w:rPr>
                  <w:t xml:space="preserve"> </w:t>
                </w:r>
                <w:r w:rsidRPr="00BC2FCC">
                  <w:t>(1931) suggests that,</w:t>
                </w:r>
                <w:r>
                  <w:t xml:space="preserve"> </w:t>
                </w:r>
                <w:r w:rsidRPr="00BC2FCC">
                  <w:t>like Thomas Pringle (1789-1834) in his clash with the Cape Governor Somerset, Campbell suffered and baulked at the hauteur and moral indifference of the English aristocracy.</w:t>
                </w:r>
              </w:p>
              <w:p w14:paraId="1D7B1D14" w14:textId="77777777" w:rsidR="00FC1E5E" w:rsidRDefault="00FC1E5E" w:rsidP="00FC1E5E"/>
              <w:p w14:paraId="17174FFA" w14:textId="77777777" w:rsidR="00FC1E5E" w:rsidRPr="00BC2FCC" w:rsidRDefault="00FC1E5E" w:rsidP="00FC1E5E">
                <w:r w:rsidRPr="00BC2FCC">
                  <w:t>The lyric vein on which Campbell’s reput</w:t>
                </w:r>
                <w:r w:rsidR="00AB127A">
                  <w:t>ation rests emerged early</w:t>
                </w:r>
                <w:r w:rsidRPr="00BC2FCC">
                  <w:t xml:space="preserve"> in</w:t>
                </w:r>
                <w:r w:rsidR="00AB127A">
                  <w:t xml:space="preserve"> his publication of</w:t>
                </w:r>
                <w:r w:rsidRPr="00BC2FCC">
                  <w:t xml:space="preserve"> </w:t>
                </w:r>
                <w:r>
                  <w:t>‘</w:t>
                </w:r>
                <w:r w:rsidRPr="00BC2FCC">
                  <w:t>The Porpoise</w:t>
                </w:r>
                <w:r>
                  <w:t>’</w:t>
                </w:r>
                <w:r w:rsidRPr="00BC2FCC">
                  <w:t xml:space="preserve"> (</w:t>
                </w:r>
                <w:r w:rsidRPr="00BC2FCC">
                  <w:rPr>
                    <w:i/>
                  </w:rPr>
                  <w:t>Oxford Poetry</w:t>
                </w:r>
                <w:r w:rsidRPr="00BC2FCC">
                  <w:t xml:space="preserve">, 1920), but Campbell’s true voice was first clearly heard in the anthology pieces of </w:t>
                </w:r>
                <w:r w:rsidR="00AB127A" w:rsidRPr="00BC2FCC">
                  <w:t>1926</w:t>
                </w:r>
                <w:r w:rsidRPr="00BC2FCC">
                  <w:t xml:space="preserve"> and in the Provençal poems collected with them in </w:t>
                </w:r>
                <w:r w:rsidRPr="00BC2FCC">
                  <w:rPr>
                    <w:i/>
                  </w:rPr>
                  <w:t>Adamastor</w:t>
                </w:r>
                <w:r w:rsidRPr="00BC2FCC">
                  <w:t xml:space="preserve"> (1930). Here Campbell also fashioned poetic self-figurations as </w:t>
                </w:r>
                <w:r w:rsidRPr="00BC2FCC">
                  <w:rPr>
                    <w:i/>
                  </w:rPr>
                  <w:t>isolato</w:t>
                </w:r>
                <w:r w:rsidRPr="00BC2FCC">
                  <w:t xml:space="preserve"> –</w:t>
                </w:r>
                <w:r>
                  <w:t xml:space="preserve"> </w:t>
                </w:r>
                <w:r w:rsidRPr="00BC2FCC">
                  <w:t>lyrical projections of the satirist’s stance. Inspiration and control came from French poets (Apollinaire, Baudelaire, Corbière, Valéry): their influence would last.</w:t>
                </w:r>
                <w:r>
                  <w:t xml:space="preserve"> </w:t>
                </w:r>
                <w:r w:rsidRPr="00BC2FCC">
                  <w:t xml:space="preserve">That </w:t>
                </w:r>
                <w:r w:rsidRPr="00BC2FCC">
                  <w:rPr>
                    <w:i/>
                  </w:rPr>
                  <w:t xml:space="preserve">Flowering Reeds </w:t>
                </w:r>
                <w:r w:rsidRPr="00BC2FCC">
                  <w:t>(1933)</w:t>
                </w:r>
                <w:r w:rsidR="00AB127A">
                  <w:t>, which</w:t>
                </w:r>
                <w:r w:rsidRPr="00BC2FCC">
                  <w:t xml:space="preserve"> reads like pure lyric</w:t>
                </w:r>
                <w:r w:rsidR="00AB127A">
                  <w:t>,</w:t>
                </w:r>
                <w:r w:rsidRPr="00BC2FCC">
                  <w:t xml:space="preserve"> is </w:t>
                </w:r>
                <w:r w:rsidR="00AB127A">
                  <w:t>the achievement of a mature poet;</w:t>
                </w:r>
                <w:r w:rsidRPr="00BC2FCC">
                  <w:t xml:space="preserve"> these poems incorporate and transmute loss, compromise, and transience in their intelligence and formal precision. </w:t>
                </w:r>
              </w:p>
              <w:p w14:paraId="7463D6C6" w14:textId="77777777" w:rsidR="00FC1E5E" w:rsidRDefault="00FC1E5E" w:rsidP="00FC1E5E"/>
              <w:p w14:paraId="35336989" w14:textId="77777777" w:rsidR="00FC1E5E" w:rsidRPr="00BC2FCC" w:rsidRDefault="00FC1E5E" w:rsidP="00FC1E5E">
                <w:r w:rsidRPr="00BC2FCC">
                  <w:t xml:space="preserve">Provence continued to inspire the solar and taurine mythology of </w:t>
                </w:r>
                <w:r w:rsidRPr="00BC2FCC">
                  <w:rPr>
                    <w:i/>
                  </w:rPr>
                  <w:t>Mithraic Emblems</w:t>
                </w:r>
                <w:r w:rsidRPr="00BC2FCC">
                  <w:t xml:space="preserve"> (1936), which,</w:t>
                </w:r>
                <w:r w:rsidR="00AB127A">
                  <w:t xml:space="preserve"> completed after the Campbell</w:t>
                </w:r>
                <w:r w:rsidRPr="00BC2FCC">
                  <w:t>’</w:t>
                </w:r>
                <w:r w:rsidR="00AB127A">
                  <w:t>s</w:t>
                </w:r>
                <w:r w:rsidRPr="00BC2FCC">
                  <w:t xml:space="preserve"> conversion to Roman Catholicism, includes early responses to the outbreak of the Civil War</w:t>
                </w:r>
                <w:r>
                  <w:t xml:space="preserve"> </w:t>
                </w:r>
                <w:r w:rsidRPr="00BC2FCC">
                  <w:t>and begins to identify the Spanish landscape in</w:t>
                </w:r>
                <w:r w:rsidR="00AB127A">
                  <w:t xml:space="preserve"> South African terms. Campbell wa</w:t>
                </w:r>
                <w:r w:rsidRPr="00BC2FCC">
                  <w:t>s at home in a part of Euro</w:t>
                </w:r>
                <w:r w:rsidR="00AB127A">
                  <w:t>pe close to Africa and extended</w:t>
                </w:r>
                <w:r w:rsidRPr="00BC2FCC">
                  <w:t xml:space="preserve"> the demotic reach of his poetic diction.</w:t>
                </w:r>
              </w:p>
              <w:p w14:paraId="10646D23" w14:textId="77777777" w:rsidR="00FC1E5E" w:rsidRDefault="00FC1E5E" w:rsidP="00FC1E5E"/>
              <w:p w14:paraId="77BB8C50" w14:textId="77777777" w:rsidR="00FC1E5E" w:rsidRPr="00BC2FCC" w:rsidRDefault="00AB127A" w:rsidP="00FC1E5E">
                <w:r>
                  <w:t xml:space="preserve">During the later portion of his career, Campbell almost fell </w:t>
                </w:r>
                <w:r w:rsidR="00FC1E5E" w:rsidRPr="00BC2FCC">
                  <w:t xml:space="preserve">off the map of the Anglophone literary establishment. His Francoist satirical epic </w:t>
                </w:r>
                <w:r w:rsidR="00FC1E5E" w:rsidRPr="00BC2FCC">
                  <w:rPr>
                    <w:i/>
                  </w:rPr>
                  <w:t>Flowering Rifle</w:t>
                </w:r>
                <w:r w:rsidR="00FC1E5E" w:rsidRPr="00BC2FCC">
                  <w:t xml:space="preserve">: </w:t>
                </w:r>
                <w:r w:rsidR="00FC1E5E" w:rsidRPr="00BC2FCC">
                  <w:rPr>
                    <w:i/>
                  </w:rPr>
                  <w:t>a Poem from the Battlefield of Spain</w:t>
                </w:r>
                <w:r w:rsidR="00FC1E5E" w:rsidRPr="00BC2FCC">
                  <w:t xml:space="preserve"> (1939) isolated him completely. The achievements of the post-war years, Campbell’s last decade, include lyrics, from </w:t>
                </w:r>
                <w:r w:rsidR="00FC1E5E" w:rsidRPr="00BC2FCC">
                  <w:rPr>
                    <w:i/>
                  </w:rPr>
                  <w:t xml:space="preserve">Talking Bronco </w:t>
                </w:r>
                <w:r w:rsidR="00FC1E5E" w:rsidRPr="00BC2FCC">
                  <w:t xml:space="preserve">(1946) and </w:t>
                </w:r>
                <w:r w:rsidR="00FC1E5E">
                  <w:t>‘</w:t>
                </w:r>
                <w:r w:rsidR="00FC1E5E" w:rsidRPr="00BC2FCC">
                  <w:t>Early and Late Poems</w:t>
                </w:r>
                <w:r w:rsidR="00FC1E5E">
                  <w:t>’</w:t>
                </w:r>
                <w:r w:rsidR="00FC1E5E" w:rsidRPr="00BC2FCC">
                  <w:t xml:space="preserve">, acknowledging that he had found his </w:t>
                </w:r>
                <w:r w:rsidR="00FC1E5E" w:rsidRPr="00BC2FCC">
                  <w:rPr>
                    <w:i/>
                  </w:rPr>
                  <w:t>querencia</w:t>
                </w:r>
                <w:r w:rsidR="00FC1E5E">
                  <w:rPr>
                    <w:i/>
                  </w:rPr>
                  <w:t xml:space="preserve"> </w:t>
                </w:r>
                <w:r w:rsidR="00FC1E5E">
                  <w:t xml:space="preserve">(a reference to a fighting bull’s preferred location in the bull-ring) </w:t>
                </w:r>
                <w:r w:rsidR="00FC1E5E" w:rsidRPr="00BC2FCC">
                  <w:t>in the European tradition,</w:t>
                </w:r>
                <w:r w:rsidR="00083B3D">
                  <w:t xml:space="preserve"> </w:t>
                </w:r>
                <w:r w:rsidR="00FC1E5E" w:rsidRPr="00BC2FCC">
                  <w:t xml:space="preserve">and translations, of San Juan de la Cruz (1951) and Baudelaire (1952). </w:t>
                </w:r>
              </w:p>
              <w:p w14:paraId="7102C688" w14:textId="77777777" w:rsidR="00FC1E5E" w:rsidRDefault="00FC1E5E" w:rsidP="00FC1E5E">
                <w:pPr>
                  <w:rPr>
                    <w:rFonts w:eastAsia="Times New Roman"/>
                  </w:rPr>
                </w:pPr>
              </w:p>
              <w:p w14:paraId="128737C9" w14:textId="77777777" w:rsidR="003F0D73" w:rsidRPr="00FC1E5E" w:rsidRDefault="00AB127A" w:rsidP="00FC1E5E">
                <w:pPr>
                  <w:rPr>
                    <w:rFonts w:eastAsia="Times New Roman"/>
                  </w:rPr>
                </w:pPr>
                <w:r>
                  <w:rPr>
                    <w:rFonts w:eastAsia="Times New Roman"/>
                  </w:rPr>
                  <w:t>Satire was</w:t>
                </w:r>
                <w:r w:rsidR="00FC1E5E" w:rsidRPr="00BC2FCC">
                  <w:rPr>
                    <w:rFonts w:eastAsia="Times New Roman"/>
                  </w:rPr>
                  <w:t xml:space="preserve"> Campbell’s occasional mode, </w:t>
                </w:r>
                <w:r>
                  <w:rPr>
                    <w:rFonts w:eastAsia="Times New Roman"/>
                  </w:rPr>
                  <w:t xml:space="preserve">while </w:t>
                </w:r>
                <w:r w:rsidR="00FC1E5E" w:rsidRPr="00BC2FCC">
                  <w:rPr>
                    <w:rFonts w:eastAsia="Times New Roman"/>
                  </w:rPr>
                  <w:t xml:space="preserve">lyric </w:t>
                </w:r>
                <w:r>
                  <w:rPr>
                    <w:rFonts w:eastAsia="Times New Roman"/>
                  </w:rPr>
                  <w:t xml:space="preserve">was </w:t>
                </w:r>
                <w:r w:rsidR="00FC1E5E" w:rsidRPr="00BC2FCC">
                  <w:rPr>
                    <w:rFonts w:eastAsia="Times New Roman"/>
                  </w:rPr>
                  <w:t>his continuum. His humanist materialism, his pre-Freudian concept of the self, and his prosody, determined by an allegiance to a tradition of the poet as craftsman and sage, set him out of tune with both modernism and modernity. Equally, he opposed any instrumental, future-directed historicist sense. His</w:t>
                </w:r>
                <w:r w:rsidR="00FC1E5E" w:rsidRPr="00BC2FCC">
                  <w:rPr>
                    <w:noProof/>
                    <w:lang w:val="en-US"/>
                  </w:rPr>
                  <w:drawing>
                    <wp:anchor distT="0" distB="0" distL="114300" distR="114300" simplePos="0" relativeHeight="251659264" behindDoc="1" locked="0" layoutInCell="1" allowOverlap="1" wp14:anchorId="5935AED2" wp14:editId="7B809A55">
                      <wp:simplePos x="0" y="0"/>
                      <wp:positionH relativeFrom="page">
                        <wp:posOffset>8720249</wp:posOffset>
                      </wp:positionH>
                      <wp:positionV relativeFrom="paragraph">
                        <wp:posOffset>-454347</wp:posOffset>
                      </wp:positionV>
                      <wp:extent cx="3747770" cy="6354445"/>
                      <wp:effectExtent l="0" t="0" r="5080" b="8255"/>
                      <wp:wrapNone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47770" cy="63544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anchor>
                  </w:drawing>
                </w:r>
                <w:r w:rsidR="00FC1E5E" w:rsidRPr="00BC2FCC">
                  <w:rPr>
                    <w:rFonts w:eastAsia="Times New Roman"/>
                  </w:rPr>
                  <w:t xml:space="preserve"> conversion</w:t>
                </w:r>
                <w:r>
                  <w:rPr>
                    <w:rFonts w:eastAsia="Times New Roman"/>
                  </w:rPr>
                  <w:t xml:space="preserve"> to Catholicism</w:t>
                </w:r>
                <w:r w:rsidR="00FC1E5E" w:rsidRPr="00BC2FCC">
                  <w:rPr>
                    <w:rFonts w:eastAsia="Times New Roman"/>
                  </w:rPr>
                  <w:t xml:space="preserve"> may have been </w:t>
                </w:r>
                <w:r w:rsidR="00FC1E5E">
                  <w:rPr>
                    <w:rFonts w:eastAsia="Times New Roman"/>
                  </w:rPr>
                  <w:t xml:space="preserve">a </w:t>
                </w:r>
                <w:r w:rsidR="00FC1E5E" w:rsidRPr="00BC2FCC">
                  <w:rPr>
                    <w:rFonts w:eastAsia="Times New Roman"/>
                  </w:rPr>
                  <w:t>calling to his craft as the creation of a world of words, a naïve and primitive energy powering both the satirical and the lyric of his work.</w:t>
                </w:r>
              </w:p>
            </w:tc>
          </w:sdtContent>
        </w:sdt>
      </w:tr>
      <w:tr w:rsidR="003235A7" w14:paraId="7C642044" w14:textId="77777777" w:rsidTr="003235A7">
        <w:tc>
          <w:tcPr>
            <w:tcW w:w="9016" w:type="dxa"/>
          </w:tcPr>
          <w:p w14:paraId="3DC7910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2C12730F" w14:textId="77777777" w:rsidR="00083B3D" w:rsidRDefault="00076F98" w:rsidP="00083B3D">
                <w:sdt>
                  <w:sdtPr>
                    <w:id w:val="-550772786"/>
                    <w:citation/>
                  </w:sdtPr>
                  <w:sdtEndPr/>
                  <w:sdtContent>
                    <w:r w:rsidR="00083B3D">
                      <w:fldChar w:fldCharType="begin"/>
                    </w:r>
                    <w:r w:rsidR="00083B3D">
                      <w:rPr>
                        <w:lang w:val="en-CA"/>
                      </w:rPr>
                      <w:instrText xml:space="preserve"> CITATION Alexander82 \l 4105 </w:instrText>
                    </w:r>
                    <w:r w:rsidR="00083B3D">
                      <w:fldChar w:fldCharType="separate"/>
                    </w:r>
                    <w:r w:rsidR="00083B3D">
                      <w:rPr>
                        <w:noProof/>
                        <w:lang w:val="en-CA"/>
                      </w:rPr>
                      <w:t xml:space="preserve"> </w:t>
                    </w:r>
                    <w:r w:rsidR="00083B3D" w:rsidRPr="00083B3D">
                      <w:rPr>
                        <w:noProof/>
                        <w:lang w:val="en-CA"/>
                      </w:rPr>
                      <w:t>(Alexander)</w:t>
                    </w:r>
                    <w:r w:rsidR="00083B3D">
                      <w:fldChar w:fldCharType="end"/>
                    </w:r>
                  </w:sdtContent>
                </w:sdt>
              </w:p>
              <w:commentRangeStart w:id="0"/>
              <w:p w14:paraId="5AD4D9EB" w14:textId="77777777" w:rsidR="00083B3D" w:rsidRDefault="00076F98" w:rsidP="00083B3D">
                <w:sdt>
                  <w:sdtPr>
                    <w:id w:val="-1127551827"/>
                    <w:citation/>
                  </w:sdtPr>
                  <w:sdtEndPr/>
                  <w:sdtContent>
                    <w:r w:rsidR="00083B3D">
                      <w:fldChar w:fldCharType="begin"/>
                    </w:r>
                    <w:r w:rsidR="002737AA">
                      <w:rPr>
                        <w:lang w:val="en-CA"/>
                      </w:rPr>
                      <w:instrText xml:space="preserve">CITATION Campbell98 \l 4105 </w:instrText>
                    </w:r>
                    <w:r w:rsidR="00083B3D">
                      <w:fldChar w:fldCharType="separate"/>
                    </w:r>
                    <w:r w:rsidR="002737AA">
                      <w:rPr>
                        <w:noProof/>
                        <w:lang w:val="en-CA"/>
                      </w:rPr>
                      <w:t>(Campbell)</w:t>
                    </w:r>
                    <w:r w:rsidR="00083B3D">
                      <w:fldChar w:fldCharType="end"/>
                    </w:r>
                  </w:sdtContent>
                </w:sdt>
                <w:commentRangeEnd w:id="0"/>
                <w:r w:rsidR="003F3EED">
                  <w:rPr>
                    <w:rStyle w:val="CommentReference"/>
                  </w:rPr>
                  <w:commentReference w:id="0"/>
                </w:r>
              </w:p>
              <w:p w14:paraId="32B8F38C" w14:textId="77777777" w:rsidR="003235A7" w:rsidRPr="00AB127A" w:rsidRDefault="00076F98" w:rsidP="00083B3D">
                <w:sdt>
                  <w:sdtPr>
                    <w:id w:val="-1517771624"/>
                    <w:citation/>
                  </w:sdtPr>
                  <w:sdtEndPr/>
                  <w:sdtContent>
                    <w:r w:rsidR="00083B3D">
                      <w:fldChar w:fldCharType="begin"/>
                    </w:r>
                    <w:r w:rsidR="00083B3D">
                      <w:rPr>
                        <w:lang w:val="en-CA"/>
                      </w:rPr>
                      <w:instrText xml:space="preserve"> CITATION Voss05 \l 4105 </w:instrText>
                    </w:r>
                    <w:r w:rsidR="00083B3D">
                      <w:fldChar w:fldCharType="separate"/>
                    </w:r>
                    <w:r w:rsidR="00083B3D" w:rsidRPr="00083B3D">
                      <w:rPr>
                        <w:noProof/>
                        <w:lang w:val="en-CA"/>
                      </w:rPr>
                      <w:t>(Voss)</w:t>
                    </w:r>
                    <w:r w:rsidR="00083B3D">
                      <w:fldChar w:fldCharType="end"/>
                    </w:r>
                  </w:sdtContent>
                </w:sdt>
              </w:p>
            </w:sdtContent>
          </w:sdt>
        </w:tc>
      </w:tr>
    </w:tbl>
    <w:p w14:paraId="2836CBD0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 Tang" w:date="2015-12-19T17:18:00Z" w:initials="YT">
    <w:p w14:paraId="68A3737D" w14:textId="52C0F1C3" w:rsidR="003F3EED" w:rsidRDefault="003F3EED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 xml:space="preserve">Not </w:t>
      </w:r>
      <w:r>
        <w:rPr>
          <w:rFonts w:hint="eastAsia"/>
          <w:lang w:eastAsia="zh-CN"/>
        </w:rPr>
        <w:t>sure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A3737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635FF" w14:textId="77777777" w:rsidR="00076F98" w:rsidRDefault="00076F98" w:rsidP="007A0D55">
      <w:pPr>
        <w:spacing w:after="0" w:line="240" w:lineRule="auto"/>
      </w:pPr>
      <w:r>
        <w:separator/>
      </w:r>
    </w:p>
  </w:endnote>
  <w:endnote w:type="continuationSeparator" w:id="0">
    <w:p w14:paraId="06BB5C94" w14:textId="77777777" w:rsidR="00076F98" w:rsidRDefault="00076F9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42465" w14:textId="77777777" w:rsidR="00076F98" w:rsidRDefault="00076F98" w:rsidP="007A0D55">
      <w:pPr>
        <w:spacing w:after="0" w:line="240" w:lineRule="auto"/>
      </w:pPr>
      <w:r>
        <w:separator/>
      </w:r>
    </w:p>
  </w:footnote>
  <w:footnote w:type="continuationSeparator" w:id="0">
    <w:p w14:paraId="405B69BB" w14:textId="77777777" w:rsidR="00076F98" w:rsidRDefault="00076F9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4D5D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1CB5F8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76F98"/>
    <w:rsid w:val="00083B3D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737AA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3F3EED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127A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1E5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C7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3E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EE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EE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E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E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4C0938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4C0938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4C0938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4C0938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4C0938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4C0938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4C0938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4C0938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4C0938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4C0938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4C0938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D7D50129C0D4DCC833230E3A5DCD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8242F-2B11-4067-9AC8-1C3F7D30295E}"/>
      </w:docPartPr>
      <w:docPartBody>
        <w:p w:rsidR="004D2F78" w:rsidRDefault="004C0938" w:rsidP="004C0938">
          <w:pPr>
            <w:pStyle w:val="5D7D50129C0D4DCC833230E3A5DCD3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4C0938"/>
    <w:rsid w:val="004D2F78"/>
    <w:rsid w:val="0057546F"/>
    <w:rsid w:val="00C4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0938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5D7D50129C0D4DCC833230E3A5DCD33A">
    <w:name w:val="5D7D50129C0D4DCC833230E3A5DCD33A"/>
    <w:rsid w:val="004C0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Alexander82</b:Tag>
    <b:SourceType>Book</b:SourceType>
    <b:Guid>{D83C3087-2A10-455C-BD55-B7436AA7059C}</b:Guid>
    <b:Author>
      <b:Author>
        <b:NameList>
          <b:Person>
            <b:Last>Alexander</b:Last>
            <b:First>Peterr</b:First>
          </b:Person>
        </b:NameList>
      </b:Author>
    </b:Author>
    <b:Title>Roy Campbell: a Critical Biography</b:Title>
    <b:Year>1982</b:Year>
    <b:City>Cape Town</b:City>
    <b:Publisher>David Philip</b:Publisher>
    <b:Medium>Print</b:Medium>
    <b:RefOrder>1</b:RefOrder>
  </b:Source>
  <b:Source>
    <b:Tag>Voss05</b:Tag>
    <b:SourceType>JournalArticle</b:SourceType>
    <b:Guid>{B4729081-8C5C-4929-B9C5-496F07D8BA3B}</b:Guid>
    <b:Author>
      <b:Author>
        <b:NameList>
          <b:Person>
            <b:Last>Voss</b:Last>
            <b:First>Tony</b:First>
          </b:Person>
        </b:NameList>
      </b:Author>
    </b:Author>
    <b:Title>Roy Campbell: Uncollected Verse</b:Title>
    <b:Year>Vol. 32 No. 2 (2005)</b:Year>
    <b:Medium>Article</b:Medium>
    <b:JournalName>English in Africa</b:JournalName>
    <b:Pages>9-38</b:Pages>
    <b:RefOrder>3</b:RefOrder>
  </b:Source>
  <b:Source>
    <b:Tag>Campbell98</b:Tag>
    <b:SourceType>Book</b:SourceType>
    <b:Guid>{74775F7C-44D3-FC4F-9655-DBAA956EC134}</b:Guid>
    <b:Author>
      <b:Author>
        <b:NameList>
          <b:Person>
            <b:Last>Campbell</b:Last>
            <b:First>Roy</b:First>
          </b:Person>
        </b:NameList>
      </b:Author>
      <b:Editor>
        <b:NameList>
          <b:Person>
            <b:Last>Alexander</b:Last>
            <b:First>Peter</b:First>
          </b:Person>
          <b:Person>
            <b:Last>Chapman</b:Last>
            <b:First>Michael</b:First>
          </b:Person>
          <b:Person>
            <b:Last>Leveson</b:Last>
            <b:First>Marcia</b:First>
          </b:Person>
        </b:NameList>
      </b:Editor>
    </b:Author>
    <b:Title>Collected Works</b:Title>
    <b:Year>1985</b:Year>
    <b:City>Johannesburg</b:City>
    <b:Publisher>A.D.Donker</b:Publishe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799029B3-AB46-C048-A56C-6D4AC73A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3</TotalTime>
  <Pages>2</Pages>
  <Words>643</Words>
  <Characters>3670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Yan Tang</cp:lastModifiedBy>
  <cp:revision>4</cp:revision>
  <dcterms:created xsi:type="dcterms:W3CDTF">2015-11-25T10:00:00Z</dcterms:created>
  <dcterms:modified xsi:type="dcterms:W3CDTF">2015-12-20T01:18:00Z</dcterms:modified>
</cp:coreProperties>
</file>