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FA0471" w:rsidP="00FA0471">
            <w:pPr>
              <w:spacing w:after="0" w:line="240" w:lineRule="auto"/>
            </w:pPr>
            <w:r>
              <w:rPr>
                <w:color w:val="808080"/>
                <w:lang w:val="en-US"/>
              </w:rPr>
              <w:t>Paula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FA0471" w:rsidP="00837FE7">
            <w:pPr>
              <w:spacing w:after="0" w:line="240" w:lineRule="auto"/>
            </w:pPr>
            <w:r w:rsidRPr="00FA0471">
              <w:rPr>
                <w:color w:val="808080"/>
                <w:lang w:val="en-US"/>
              </w:rPr>
              <w:t>Derdiger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FA0471" w:rsidP="00837FE7">
            <w:pPr>
              <w:spacing w:after="0" w:line="240" w:lineRule="auto"/>
            </w:pPr>
            <w:r>
              <w:rPr>
                <w:rStyle w:val="PlaceholderText"/>
              </w:rPr>
              <w:t>University of Minnesota-Duluth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A0471" w:rsidP="00FA0471">
            <w:pPr>
              <w:spacing w:after="0" w:line="240" w:lineRule="auto"/>
              <w:rPr>
                <w:b/>
                <w:color w:val="000000"/>
              </w:rPr>
            </w:pPr>
            <w:r>
              <w:rPr>
                <w:b/>
                <w:color w:val="000000"/>
                <w:lang w:val="en-US"/>
              </w:rPr>
              <w:t>Mac</w:t>
            </w:r>
            <w:r w:rsidRPr="00FA0471">
              <w:rPr>
                <w:b/>
                <w:color w:val="000000"/>
                <w:lang w:val="en-US"/>
              </w:rPr>
              <w:t>I</w:t>
            </w:r>
            <w:r>
              <w:rPr>
                <w:b/>
                <w:color w:val="000000"/>
                <w:lang w:val="en-US"/>
              </w:rPr>
              <w:t>nnes, Colin</w:t>
            </w:r>
            <w:r w:rsidRPr="00FA0471">
              <w:rPr>
                <w:b/>
                <w:color w:val="000000"/>
                <w:lang w:val="en-US"/>
              </w:rPr>
              <w:t xml:space="preserve"> (1914-1976)</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A36238" w:rsidP="00837FE7">
            <w:pPr>
              <w:spacing w:after="0" w:line="240" w:lineRule="auto"/>
              <w:rPr>
                <w:color w:val="000000"/>
              </w:rPr>
            </w:pPr>
            <w:r w:rsidRPr="00A36238">
              <w:rPr>
                <w:color w:val="000000"/>
                <w:lang w:val="en-US"/>
              </w:rPr>
              <w:t xml:space="preserve">Colin MacInnes was an English novelist, essayist, and radio broadcaster best known for his commentary on popular culture and his series of three novels set in 1950s London: </w:t>
            </w:r>
            <w:r w:rsidRPr="00A36238">
              <w:rPr>
                <w:i/>
                <w:color w:val="000000"/>
                <w:lang w:val="en-US"/>
              </w:rPr>
              <w:t>City of Spades</w:t>
            </w:r>
            <w:r w:rsidRPr="00A36238">
              <w:rPr>
                <w:color w:val="000000"/>
                <w:lang w:val="en-US"/>
              </w:rPr>
              <w:t xml:space="preserve"> (1957), </w:t>
            </w:r>
            <w:r w:rsidRPr="00A36238">
              <w:rPr>
                <w:i/>
                <w:color w:val="000000"/>
                <w:lang w:val="en-US"/>
              </w:rPr>
              <w:t>Absolute Beginners</w:t>
            </w:r>
            <w:r w:rsidRPr="00A36238">
              <w:rPr>
                <w:color w:val="000000"/>
                <w:lang w:val="en-US"/>
              </w:rPr>
              <w:t xml:space="preserve"> (1959), and </w:t>
            </w:r>
            <w:r w:rsidRPr="00A36238">
              <w:rPr>
                <w:i/>
                <w:color w:val="000000"/>
                <w:lang w:val="en-US"/>
              </w:rPr>
              <w:t>Mr Love and Justice</w:t>
            </w:r>
            <w:r w:rsidRPr="00A36238">
              <w:rPr>
                <w:color w:val="000000"/>
                <w:lang w:val="en-US"/>
              </w:rPr>
              <w:t xml:space="preserve"> (1960). MacInnes was born in London, but not long after World War I, his family travelled to Australia, where he spent his childhood and adolescence, returning to England in 1931. As a young man, MacInnes regularly spent time abroad, including his Army service in Europe during World War II. These early migrations, both voluntary and involuntary, affected MacInnes profoundly, contributing to his persistent sense later in life that he was an outsider in terms of national, cultural, and social identity.</w:t>
            </w:r>
          </w:p>
        </w:tc>
      </w:tr>
      <w:tr w:rsidR="003F0D73" w:rsidRPr="00837FE7" w:rsidTr="00837FE7">
        <w:tc>
          <w:tcPr>
            <w:tcW w:w="9016" w:type="dxa"/>
            <w:shd w:val="clear" w:color="auto" w:fill="auto"/>
            <w:tcMar>
              <w:top w:w="113" w:type="dxa"/>
              <w:bottom w:w="113" w:type="dxa"/>
            </w:tcMar>
          </w:tcPr>
          <w:p w:rsidR="00A36238" w:rsidRPr="00A36238" w:rsidRDefault="00A36238" w:rsidP="00A36238">
            <w:pPr>
              <w:spacing w:after="0" w:line="240" w:lineRule="auto"/>
              <w:rPr>
                <w:color w:val="000000"/>
                <w:lang w:val="en-US"/>
              </w:rPr>
            </w:pPr>
            <w:r w:rsidRPr="00A36238">
              <w:rPr>
                <w:color w:val="000000"/>
                <w:lang w:val="en-US"/>
              </w:rPr>
              <w:t xml:space="preserve">Colin MacInnes was an English novelist, essayist, and radio broadcaster best known for his commentary on popular culture and his series of three novels set in 1950s London: </w:t>
            </w:r>
            <w:r w:rsidRPr="00A36238">
              <w:rPr>
                <w:i/>
                <w:color w:val="000000"/>
                <w:lang w:val="en-US"/>
              </w:rPr>
              <w:t>City of Spades</w:t>
            </w:r>
            <w:r w:rsidRPr="00A36238">
              <w:rPr>
                <w:color w:val="000000"/>
                <w:lang w:val="en-US"/>
              </w:rPr>
              <w:t xml:space="preserve"> (1957), </w:t>
            </w:r>
            <w:r w:rsidRPr="00A36238">
              <w:rPr>
                <w:i/>
                <w:color w:val="000000"/>
                <w:lang w:val="en-US"/>
              </w:rPr>
              <w:t>Absolute Beginners</w:t>
            </w:r>
            <w:r w:rsidRPr="00A36238">
              <w:rPr>
                <w:color w:val="000000"/>
                <w:lang w:val="en-US"/>
              </w:rPr>
              <w:t xml:space="preserve"> (1959), and </w:t>
            </w:r>
            <w:r w:rsidRPr="00A36238">
              <w:rPr>
                <w:i/>
                <w:color w:val="000000"/>
                <w:lang w:val="en-US"/>
              </w:rPr>
              <w:t>Mr Love and Justice</w:t>
            </w:r>
            <w:r w:rsidRPr="00A36238">
              <w:rPr>
                <w:color w:val="000000"/>
                <w:lang w:val="en-US"/>
              </w:rPr>
              <w:t xml:space="preserve"> (1960). MacInnes was born in London, but not long after World War I, his family travelled to Australia, where he spent his childhood and adolescence, returning to England in 1931. As a young man, MacInnes regularly spent time abroad, including his Army service in Europe during World War II. These early migrations, both voluntary and involuntary, affected MacInnes profoundly, contributing to his persistent sense later in life that he was an outsider in terms of national, cultural, and social identity. The title of his first volume of collected essays, </w:t>
            </w:r>
            <w:r w:rsidRPr="00A36238">
              <w:rPr>
                <w:i/>
                <w:color w:val="000000"/>
                <w:lang w:val="en-US"/>
              </w:rPr>
              <w:t>England, Half English</w:t>
            </w:r>
            <w:r w:rsidRPr="00A36238">
              <w:rPr>
                <w:color w:val="000000"/>
                <w:lang w:val="en-US"/>
              </w:rPr>
              <w:t xml:space="preserve"> (1961), highlights his abiding interest in what he perceived as the hybrid nature of postwar English society. His personal and journalistic preoccupation with belonging and diversity in contemporary England was also one of the main themes of his fiction from the late 1950s.</w:t>
            </w:r>
          </w:p>
          <w:p w:rsidR="00A36238" w:rsidRPr="00A36238" w:rsidRDefault="00A36238" w:rsidP="00A36238">
            <w:pPr>
              <w:spacing w:after="0" w:line="240" w:lineRule="auto"/>
              <w:rPr>
                <w:color w:val="000000"/>
                <w:lang w:val="en-US"/>
              </w:rPr>
            </w:pPr>
          </w:p>
          <w:p w:rsidR="003F0D73" w:rsidRDefault="00A36238" w:rsidP="00A36238">
            <w:pPr>
              <w:spacing w:after="0" w:line="240" w:lineRule="auto"/>
              <w:rPr>
                <w:color w:val="000000"/>
                <w:lang w:val="en-US"/>
              </w:rPr>
            </w:pPr>
            <w:r w:rsidRPr="00A36238">
              <w:rPr>
                <w:color w:val="000000"/>
                <w:lang w:val="en-US"/>
              </w:rPr>
              <w:t xml:space="preserve">In his three London novels, which were widely popular, MacInnes depicted the vibrant urban scene characterized by rebellious youth culture and postcolonial migrants from Africa and the Caribbean. Known for a sociological, realistic approach to fiction that has often lead to comparisons with George Orwell and Charles Dickens, MacInnes captured the diverse vernaculars and latest fashions of modern postwar London. Like his postcolonial British contemporaries Sam Selvon and George Lamming, he wrote about those who resided in the geographical and political heart of England but who nevertheless remained peripheral in crucial ways. </w:t>
            </w:r>
            <w:r w:rsidRPr="00A36238">
              <w:rPr>
                <w:i/>
                <w:color w:val="000000"/>
                <w:lang w:val="en-US"/>
              </w:rPr>
              <w:t>Absolute Beginners</w:t>
            </w:r>
            <w:r w:rsidRPr="00A36238">
              <w:rPr>
                <w:color w:val="000000"/>
                <w:lang w:val="en-US"/>
              </w:rPr>
              <w:t xml:space="preserve">, for example, memorably ends with a scene of the 1958 Notting Hill race riots—a violent and disconcerting coda to a story that otherwise </w:t>
            </w:r>
            <w:r w:rsidR="00C87D86">
              <w:rPr>
                <w:color w:val="000000"/>
                <w:lang w:val="en-US"/>
              </w:rPr>
              <w:t>‘</w:t>
            </w:r>
            <w:r w:rsidRPr="00A36238">
              <w:rPr>
                <w:color w:val="000000"/>
                <w:lang w:val="en-US"/>
              </w:rPr>
              <w:t>accurately reflects the innocence and the optimism … of the Macmillan era</w:t>
            </w:r>
            <w:r w:rsidR="00C87D86">
              <w:rPr>
                <w:color w:val="000000"/>
                <w:lang w:val="en-US"/>
              </w:rPr>
              <w:t>’</w:t>
            </w:r>
            <w:r w:rsidRPr="00A36238">
              <w:rPr>
                <w:color w:val="000000"/>
                <w:lang w:val="en-US"/>
              </w:rPr>
              <w:t xml:space="preserve"> (Gould xiii). MacInnes was less successful as a novelist after the 1950s, but he continued to write prolifically, publishing a book-length photo essay (</w:t>
            </w:r>
            <w:r w:rsidRPr="00A36238">
              <w:rPr>
                <w:i/>
                <w:color w:val="000000"/>
                <w:lang w:val="en-US"/>
              </w:rPr>
              <w:t>London, City of Any Dream</w:t>
            </w:r>
            <w:r w:rsidRPr="00A36238">
              <w:rPr>
                <w:color w:val="000000"/>
                <w:lang w:val="en-US"/>
              </w:rPr>
              <w:t>, 1962), a history of the British music hall (</w:t>
            </w:r>
            <w:r w:rsidRPr="00A36238">
              <w:rPr>
                <w:i/>
                <w:color w:val="000000"/>
                <w:lang w:val="en-US"/>
              </w:rPr>
              <w:t>Sweet Saturday Night</w:t>
            </w:r>
            <w:r w:rsidRPr="00A36238">
              <w:rPr>
                <w:color w:val="000000"/>
                <w:lang w:val="en-US"/>
              </w:rPr>
              <w:t xml:space="preserve">, 1967), and </w:t>
            </w:r>
            <w:r w:rsidRPr="00A36238">
              <w:rPr>
                <w:i/>
                <w:color w:val="000000"/>
                <w:lang w:val="en-US"/>
              </w:rPr>
              <w:t>Loving Them Both: A Study of Bisexuality</w:t>
            </w:r>
            <w:r w:rsidRPr="00A36238">
              <w:rPr>
                <w:color w:val="000000"/>
                <w:lang w:val="en-US"/>
              </w:rPr>
              <w:t xml:space="preserve"> (1973). He also regularly contributed book reviews and essays on </w:t>
            </w:r>
            <w:r w:rsidRPr="00A36238">
              <w:rPr>
                <w:color w:val="000000"/>
                <w:lang w:val="en-US"/>
              </w:rPr>
              <w:lastRenderedPageBreak/>
              <w:t xml:space="preserve">literature, music, art, architecture, and other aspects of popular culture to publications including </w:t>
            </w:r>
            <w:r w:rsidRPr="00A36238">
              <w:rPr>
                <w:i/>
                <w:color w:val="000000"/>
                <w:lang w:val="en-US"/>
              </w:rPr>
              <w:t>Encounter</w:t>
            </w:r>
            <w:r w:rsidRPr="00A36238">
              <w:rPr>
                <w:color w:val="000000"/>
                <w:lang w:val="en-US"/>
              </w:rPr>
              <w:t xml:space="preserve">, </w:t>
            </w:r>
            <w:r w:rsidRPr="00A36238">
              <w:rPr>
                <w:i/>
                <w:color w:val="000000"/>
                <w:lang w:val="en-US"/>
              </w:rPr>
              <w:t>Gay News</w:t>
            </w:r>
            <w:r w:rsidRPr="00A36238">
              <w:rPr>
                <w:color w:val="000000"/>
                <w:lang w:val="en-US"/>
              </w:rPr>
              <w:t xml:space="preserve">, the </w:t>
            </w:r>
            <w:r w:rsidRPr="00A36238">
              <w:rPr>
                <w:i/>
                <w:color w:val="000000"/>
                <w:lang w:val="en-US"/>
              </w:rPr>
              <w:t>Observer</w:t>
            </w:r>
            <w:r w:rsidRPr="00A36238">
              <w:rPr>
                <w:color w:val="000000"/>
                <w:lang w:val="en-US"/>
              </w:rPr>
              <w:t xml:space="preserve">, </w:t>
            </w:r>
            <w:r w:rsidRPr="00A36238">
              <w:rPr>
                <w:i/>
                <w:color w:val="000000"/>
                <w:lang w:val="en-US"/>
              </w:rPr>
              <w:t>New Society</w:t>
            </w:r>
            <w:r w:rsidRPr="00A36238">
              <w:rPr>
                <w:color w:val="000000"/>
                <w:lang w:val="en-US"/>
              </w:rPr>
              <w:t xml:space="preserve">, and the </w:t>
            </w:r>
            <w:r w:rsidRPr="00A36238">
              <w:rPr>
                <w:i/>
                <w:color w:val="000000"/>
                <w:lang w:val="en-US"/>
              </w:rPr>
              <w:t>New Statesman</w:t>
            </w:r>
            <w:r w:rsidRPr="00A36238">
              <w:rPr>
                <w:color w:val="000000"/>
                <w:lang w:val="en-US"/>
              </w:rPr>
              <w:t>. He died of cancer in 1976.</w:t>
            </w:r>
          </w:p>
          <w:p w:rsidR="009049F3" w:rsidRDefault="009049F3" w:rsidP="00A36238">
            <w:pPr>
              <w:spacing w:after="0" w:line="240" w:lineRule="auto"/>
              <w:rPr>
                <w:color w:val="000000"/>
                <w:lang w:val="en-US"/>
              </w:rPr>
            </w:pPr>
          </w:p>
          <w:p w:rsidR="009049F3" w:rsidRPr="009049F3" w:rsidRDefault="009049F3" w:rsidP="009049F3">
            <w:pPr>
              <w:pStyle w:val="Heading1"/>
              <w:spacing w:after="0"/>
              <w:rPr>
                <w:lang w:val="en-US"/>
              </w:rPr>
            </w:pPr>
            <w:r w:rsidRPr="009049F3">
              <w:rPr>
                <w:lang w:val="en-US"/>
              </w:rPr>
              <w:t>List of Works</w:t>
            </w:r>
          </w:p>
          <w:p w:rsidR="009049F3" w:rsidRPr="009049F3" w:rsidRDefault="009049F3" w:rsidP="009049F3">
            <w:pPr>
              <w:spacing w:after="0" w:line="240" w:lineRule="auto"/>
              <w:rPr>
                <w:color w:val="000000"/>
                <w:lang w:val="en-US"/>
              </w:rPr>
            </w:pPr>
            <w:r w:rsidRPr="009049F3">
              <w:rPr>
                <w:i/>
                <w:color w:val="000000"/>
                <w:lang w:val="en-US"/>
              </w:rPr>
              <w:t>To the Victor the Spoils</w:t>
            </w:r>
            <w:r w:rsidRPr="009049F3">
              <w:rPr>
                <w:color w:val="000000"/>
                <w:lang w:val="en-US"/>
              </w:rPr>
              <w:t>. (1950) London: MacGibbon &amp; Kee.</w:t>
            </w:r>
          </w:p>
          <w:p w:rsidR="009049F3" w:rsidRPr="009049F3" w:rsidRDefault="009049F3" w:rsidP="009049F3">
            <w:pPr>
              <w:spacing w:after="0" w:line="240" w:lineRule="auto"/>
              <w:rPr>
                <w:color w:val="000000"/>
                <w:lang w:val="en-US"/>
              </w:rPr>
            </w:pPr>
            <w:r w:rsidRPr="009049F3">
              <w:rPr>
                <w:i/>
                <w:color w:val="000000"/>
                <w:lang w:val="en-US"/>
              </w:rPr>
              <w:t>June in Her Spring</w:t>
            </w:r>
            <w:r w:rsidRPr="009049F3">
              <w:rPr>
                <w:color w:val="000000"/>
                <w:lang w:val="en-US"/>
              </w:rPr>
              <w:t>. (1952) London: MacGibbon &amp; Kee.</w:t>
            </w:r>
          </w:p>
          <w:p w:rsidR="009049F3" w:rsidRPr="009049F3" w:rsidRDefault="009049F3" w:rsidP="009049F3">
            <w:pPr>
              <w:spacing w:after="0" w:line="240" w:lineRule="auto"/>
              <w:rPr>
                <w:color w:val="000000"/>
                <w:lang w:val="en-US"/>
              </w:rPr>
            </w:pPr>
            <w:r w:rsidRPr="009049F3">
              <w:rPr>
                <w:i/>
                <w:color w:val="000000"/>
                <w:lang w:val="en-US"/>
              </w:rPr>
              <w:t>City of Spades</w:t>
            </w:r>
            <w:r w:rsidRPr="009049F3">
              <w:rPr>
                <w:color w:val="000000"/>
                <w:lang w:val="en-US"/>
              </w:rPr>
              <w:t>. (1957) London: MacGibbon &amp; Kee.</w:t>
            </w:r>
          </w:p>
          <w:p w:rsidR="009049F3" w:rsidRPr="009049F3" w:rsidRDefault="009049F3" w:rsidP="009049F3">
            <w:pPr>
              <w:spacing w:after="0" w:line="240" w:lineRule="auto"/>
              <w:rPr>
                <w:color w:val="000000"/>
                <w:lang w:val="en-US"/>
              </w:rPr>
            </w:pPr>
            <w:r w:rsidRPr="009049F3">
              <w:rPr>
                <w:i/>
                <w:color w:val="000000"/>
                <w:lang w:val="en-US"/>
              </w:rPr>
              <w:t>Absolute Beginners</w:t>
            </w:r>
            <w:r w:rsidRPr="009049F3">
              <w:rPr>
                <w:color w:val="000000"/>
                <w:lang w:val="en-US"/>
              </w:rPr>
              <w:t>. (1959) London: MacGibbon &amp; Kee.</w:t>
            </w:r>
          </w:p>
          <w:p w:rsidR="009049F3" w:rsidRPr="009049F3" w:rsidRDefault="009049F3" w:rsidP="009049F3">
            <w:pPr>
              <w:spacing w:after="0" w:line="240" w:lineRule="auto"/>
              <w:rPr>
                <w:color w:val="000000"/>
                <w:lang w:val="en-US"/>
              </w:rPr>
            </w:pPr>
            <w:r w:rsidRPr="009049F3">
              <w:rPr>
                <w:i/>
                <w:color w:val="000000"/>
                <w:lang w:val="en-US"/>
              </w:rPr>
              <w:t>Mr Love &amp; Justice</w:t>
            </w:r>
            <w:r w:rsidRPr="009049F3">
              <w:rPr>
                <w:color w:val="000000"/>
                <w:lang w:val="en-US"/>
              </w:rPr>
              <w:t>. (1960) London: MacGibbon &amp; Kee.</w:t>
            </w:r>
          </w:p>
          <w:p w:rsidR="009049F3" w:rsidRPr="009049F3" w:rsidRDefault="009049F3" w:rsidP="009049F3">
            <w:pPr>
              <w:spacing w:after="0" w:line="240" w:lineRule="auto"/>
              <w:rPr>
                <w:color w:val="000000"/>
                <w:lang w:val="en-US"/>
              </w:rPr>
            </w:pPr>
            <w:r w:rsidRPr="009049F3">
              <w:rPr>
                <w:i/>
                <w:color w:val="000000"/>
                <w:lang w:val="en-US"/>
              </w:rPr>
              <w:t>England, Half English</w:t>
            </w:r>
            <w:r w:rsidRPr="009049F3">
              <w:rPr>
                <w:color w:val="000000"/>
                <w:lang w:val="en-US"/>
              </w:rPr>
              <w:t>. (1961) London: MacGibbon &amp; Kee.</w:t>
            </w:r>
          </w:p>
          <w:p w:rsidR="009049F3" w:rsidRPr="009049F3" w:rsidRDefault="009049F3" w:rsidP="009049F3">
            <w:pPr>
              <w:spacing w:after="0" w:line="240" w:lineRule="auto"/>
              <w:rPr>
                <w:color w:val="000000"/>
                <w:lang w:val="en-US"/>
              </w:rPr>
            </w:pPr>
            <w:r w:rsidRPr="009049F3">
              <w:rPr>
                <w:i/>
                <w:color w:val="000000"/>
                <w:lang w:val="en-US"/>
              </w:rPr>
              <w:t>London, City of Any Dream</w:t>
            </w:r>
            <w:r w:rsidRPr="009049F3">
              <w:rPr>
                <w:color w:val="000000"/>
                <w:lang w:val="en-US"/>
              </w:rPr>
              <w:t>. (1962) London: Thames &amp; Hudson.</w:t>
            </w:r>
          </w:p>
          <w:p w:rsidR="009049F3" w:rsidRPr="009049F3" w:rsidRDefault="009049F3" w:rsidP="009049F3">
            <w:pPr>
              <w:spacing w:after="0" w:line="240" w:lineRule="auto"/>
              <w:rPr>
                <w:color w:val="000000"/>
                <w:lang w:val="en-US"/>
              </w:rPr>
            </w:pPr>
            <w:r w:rsidRPr="009049F3">
              <w:rPr>
                <w:i/>
                <w:color w:val="000000"/>
                <w:lang w:val="en-US"/>
              </w:rPr>
              <w:t>Australia and New Zealand</w:t>
            </w:r>
            <w:r w:rsidRPr="009049F3">
              <w:rPr>
                <w:color w:val="000000"/>
                <w:lang w:val="en-US"/>
              </w:rPr>
              <w:t>. (1964) New York: Time Life.</w:t>
            </w:r>
          </w:p>
          <w:p w:rsidR="009049F3" w:rsidRPr="009049F3" w:rsidRDefault="009049F3" w:rsidP="009049F3">
            <w:pPr>
              <w:spacing w:after="0" w:line="240" w:lineRule="auto"/>
              <w:rPr>
                <w:color w:val="000000"/>
                <w:lang w:val="en-US"/>
              </w:rPr>
            </w:pPr>
            <w:r w:rsidRPr="009049F3">
              <w:rPr>
                <w:i/>
                <w:color w:val="000000"/>
                <w:lang w:val="en-US"/>
              </w:rPr>
              <w:t>All Day Saturday</w:t>
            </w:r>
            <w:r w:rsidRPr="009049F3">
              <w:rPr>
                <w:color w:val="000000"/>
                <w:lang w:val="en-US"/>
              </w:rPr>
              <w:t>. (1966) London: MacGibbon &amp; Kee.</w:t>
            </w:r>
          </w:p>
          <w:p w:rsidR="009049F3" w:rsidRPr="009049F3" w:rsidRDefault="009049F3" w:rsidP="009049F3">
            <w:pPr>
              <w:spacing w:after="0" w:line="240" w:lineRule="auto"/>
              <w:rPr>
                <w:color w:val="000000"/>
                <w:lang w:val="en-US"/>
              </w:rPr>
            </w:pPr>
            <w:r w:rsidRPr="009049F3">
              <w:rPr>
                <w:i/>
                <w:color w:val="000000"/>
                <w:lang w:val="en-US"/>
              </w:rPr>
              <w:t>Sweet Saturday Night</w:t>
            </w:r>
            <w:r w:rsidRPr="009049F3">
              <w:rPr>
                <w:color w:val="000000"/>
                <w:lang w:val="en-US"/>
              </w:rPr>
              <w:t>. (1967) London: MacGibbon &amp; Kee.</w:t>
            </w:r>
          </w:p>
          <w:p w:rsidR="009049F3" w:rsidRPr="009049F3" w:rsidRDefault="009049F3" w:rsidP="009049F3">
            <w:pPr>
              <w:spacing w:after="0" w:line="240" w:lineRule="auto"/>
              <w:rPr>
                <w:color w:val="000000"/>
                <w:lang w:val="en-US"/>
              </w:rPr>
            </w:pPr>
            <w:r w:rsidRPr="009049F3">
              <w:rPr>
                <w:i/>
                <w:color w:val="000000"/>
                <w:lang w:val="en-US"/>
              </w:rPr>
              <w:t>Westward to Laughter</w:t>
            </w:r>
            <w:r w:rsidRPr="009049F3">
              <w:rPr>
                <w:color w:val="000000"/>
                <w:lang w:val="en-US"/>
              </w:rPr>
              <w:t>. (1969) London: MacGibbon &amp; Kee.</w:t>
            </w:r>
          </w:p>
          <w:p w:rsidR="009049F3" w:rsidRPr="009049F3" w:rsidRDefault="009049F3" w:rsidP="009049F3">
            <w:pPr>
              <w:spacing w:after="0" w:line="240" w:lineRule="auto"/>
              <w:rPr>
                <w:color w:val="000000"/>
                <w:lang w:val="en-US"/>
              </w:rPr>
            </w:pPr>
            <w:r w:rsidRPr="009049F3">
              <w:rPr>
                <w:i/>
                <w:color w:val="000000"/>
                <w:lang w:val="en-US"/>
              </w:rPr>
              <w:t>Three Years to Play</w:t>
            </w:r>
            <w:r w:rsidRPr="009049F3">
              <w:rPr>
                <w:color w:val="000000"/>
                <w:lang w:val="en-US"/>
              </w:rPr>
              <w:t>. (1970) London: MacGibbon &amp; Kee.</w:t>
            </w:r>
          </w:p>
          <w:p w:rsidR="009049F3" w:rsidRPr="009049F3" w:rsidRDefault="009049F3" w:rsidP="009049F3">
            <w:pPr>
              <w:spacing w:after="0" w:line="240" w:lineRule="auto"/>
              <w:rPr>
                <w:color w:val="000000"/>
                <w:lang w:val="en-US"/>
              </w:rPr>
            </w:pPr>
            <w:r w:rsidRPr="009049F3">
              <w:rPr>
                <w:i/>
                <w:color w:val="000000"/>
                <w:lang w:val="en-US"/>
              </w:rPr>
              <w:t>Loving Them Both: A Study of Bisexuality</w:t>
            </w:r>
            <w:r w:rsidRPr="009049F3">
              <w:rPr>
                <w:color w:val="000000"/>
                <w:lang w:val="en-US"/>
              </w:rPr>
              <w:t>. (1973) London: Martin Brian and O’Keeffe.</w:t>
            </w:r>
          </w:p>
          <w:p w:rsidR="009049F3" w:rsidRPr="009049F3" w:rsidRDefault="009049F3" w:rsidP="009049F3">
            <w:pPr>
              <w:spacing w:after="0" w:line="240" w:lineRule="auto"/>
              <w:rPr>
                <w:color w:val="000000"/>
                <w:lang w:val="en-US"/>
              </w:rPr>
            </w:pPr>
            <w:r w:rsidRPr="009049F3">
              <w:rPr>
                <w:i/>
                <w:color w:val="000000"/>
                <w:lang w:val="en-US"/>
              </w:rPr>
              <w:t>Out of the Garden</w:t>
            </w:r>
            <w:r w:rsidRPr="009049F3">
              <w:rPr>
                <w:color w:val="000000"/>
                <w:lang w:val="en-US"/>
              </w:rPr>
              <w:t>. (1974) London: Harper Collins.</w:t>
            </w:r>
          </w:p>
          <w:p w:rsidR="009049F3" w:rsidRPr="009049F3" w:rsidRDefault="009049F3" w:rsidP="009049F3">
            <w:pPr>
              <w:spacing w:after="0" w:line="240" w:lineRule="auto"/>
              <w:rPr>
                <w:color w:val="000000"/>
                <w:lang w:val="en-US"/>
              </w:rPr>
            </w:pPr>
            <w:r w:rsidRPr="009049F3">
              <w:rPr>
                <w:i/>
                <w:color w:val="000000"/>
                <w:lang w:val="en-US"/>
              </w:rPr>
              <w:t>No Novel Reader</w:t>
            </w:r>
            <w:r w:rsidRPr="009049F3">
              <w:rPr>
                <w:color w:val="000000"/>
                <w:lang w:val="en-US"/>
              </w:rPr>
              <w:t>. (1975) London: Martin Brian &amp; O’Keeffe.</w:t>
            </w:r>
          </w:p>
          <w:p w:rsidR="009049F3" w:rsidRPr="009049F3" w:rsidRDefault="009049F3" w:rsidP="009049F3">
            <w:pPr>
              <w:spacing w:after="0" w:line="240" w:lineRule="auto"/>
              <w:rPr>
                <w:color w:val="000000"/>
                <w:lang w:val="en-US"/>
              </w:rPr>
            </w:pPr>
            <w:r w:rsidRPr="009049F3">
              <w:rPr>
                <w:i/>
                <w:color w:val="000000"/>
                <w:lang w:val="en-US"/>
              </w:rPr>
              <w:t>Out of the Way: Later Essays</w:t>
            </w:r>
            <w:r w:rsidRPr="009049F3">
              <w:rPr>
                <w:color w:val="000000"/>
                <w:lang w:val="en-US"/>
              </w:rPr>
              <w:t>. (1980) London: Martin Brian &amp; O’Keeffe.</w:t>
            </w:r>
          </w:p>
          <w:p w:rsidR="009049F3" w:rsidRPr="00E06B87" w:rsidRDefault="009049F3" w:rsidP="009049F3">
            <w:pPr>
              <w:spacing w:after="0" w:line="240" w:lineRule="auto"/>
              <w:rPr>
                <w:color w:val="000000"/>
              </w:rPr>
            </w:pPr>
            <w:r w:rsidRPr="009049F3">
              <w:rPr>
                <w:i/>
                <w:color w:val="000000"/>
                <w:lang w:val="en-US"/>
              </w:rPr>
              <w:t>Absolute MacInnes: The Best of Colin MacInnes</w:t>
            </w:r>
            <w:r w:rsidRPr="009049F3">
              <w:rPr>
                <w:color w:val="000000"/>
                <w:lang w:val="en-US"/>
              </w:rPr>
              <w:t>. (1985) London: Allison &amp; Busby.</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9049F3" w:rsidRPr="009049F3" w:rsidRDefault="008A5B73" w:rsidP="009049F3">
            <w:pPr>
              <w:spacing w:after="0" w:line="240" w:lineRule="auto"/>
              <w:rPr>
                <w:color w:val="000000"/>
                <w:lang w:val="en-US"/>
              </w:rPr>
            </w:pPr>
            <w:sdt>
              <w:sdtPr>
                <w:rPr>
                  <w:color w:val="000000"/>
                  <w:lang w:val="en-US"/>
                </w:rPr>
                <w:id w:val="-382400033"/>
                <w:citation/>
              </w:sdtPr>
              <w:sdtContent>
                <w:r>
                  <w:rPr>
                    <w:color w:val="000000"/>
                    <w:lang w:val="en-US"/>
                  </w:rPr>
                  <w:fldChar w:fldCharType="begin"/>
                </w:r>
                <w:r>
                  <w:rPr>
                    <w:color w:val="000000"/>
                    <w:lang w:val="en-CA"/>
                  </w:rPr>
                  <w:instrText xml:space="preserve"> CITATION Ben031 \l 4105 </w:instrText>
                </w:r>
                <w:r>
                  <w:rPr>
                    <w:color w:val="000000"/>
                    <w:lang w:val="en-US"/>
                  </w:rPr>
                  <w:fldChar w:fldCharType="separate"/>
                </w:r>
                <w:r w:rsidRPr="008A5B73">
                  <w:rPr>
                    <w:noProof/>
                    <w:color w:val="000000"/>
                    <w:lang w:val="en-CA"/>
                  </w:rPr>
                  <w:t>(Bentley)</w:t>
                </w:r>
                <w:r>
                  <w:rPr>
                    <w:color w:val="000000"/>
                    <w:lang w:val="en-US"/>
                  </w:rPr>
                  <w:fldChar w:fldCharType="end"/>
                </w:r>
              </w:sdtContent>
            </w:sdt>
          </w:p>
          <w:p w:rsidR="009049F3" w:rsidRPr="009049F3" w:rsidRDefault="008A5B73" w:rsidP="009049F3">
            <w:pPr>
              <w:spacing w:after="0" w:line="240" w:lineRule="auto"/>
              <w:rPr>
                <w:color w:val="000000"/>
                <w:lang w:val="en-US"/>
              </w:rPr>
            </w:pPr>
            <w:sdt>
              <w:sdtPr>
                <w:rPr>
                  <w:color w:val="000000"/>
                  <w:lang w:val="en-US"/>
                </w:rPr>
                <w:id w:val="1408102247"/>
                <w:citation/>
              </w:sdtPr>
              <w:sdtContent>
                <w:r>
                  <w:rPr>
                    <w:color w:val="000000"/>
                    <w:lang w:val="en-US"/>
                  </w:rPr>
                  <w:fldChar w:fldCharType="begin"/>
                </w:r>
                <w:r>
                  <w:rPr>
                    <w:color w:val="000000"/>
                    <w:lang w:val="en-CA"/>
                  </w:rPr>
                  <w:instrText xml:space="preserve"> CITATION Dav16 \l 4105 </w:instrText>
                </w:r>
                <w:r>
                  <w:rPr>
                    <w:color w:val="000000"/>
                    <w:lang w:val="en-US"/>
                  </w:rPr>
                  <w:fldChar w:fldCharType="separate"/>
                </w:r>
                <w:r w:rsidRPr="008A5B73">
                  <w:rPr>
                    <w:noProof/>
                    <w:color w:val="000000"/>
                    <w:lang w:val="en-CA"/>
                  </w:rPr>
                  <w:t>(Davis)</w:t>
                </w:r>
                <w:r>
                  <w:rPr>
                    <w:color w:val="000000"/>
                    <w:lang w:val="en-US"/>
                  </w:rPr>
                  <w:fldChar w:fldCharType="end"/>
                </w:r>
              </w:sdtContent>
            </w:sdt>
          </w:p>
          <w:p w:rsidR="009049F3" w:rsidRPr="009049F3" w:rsidRDefault="008A5B73" w:rsidP="009049F3">
            <w:pPr>
              <w:spacing w:after="0" w:line="240" w:lineRule="auto"/>
              <w:rPr>
                <w:color w:val="000000"/>
                <w:lang w:val="en-US"/>
              </w:rPr>
            </w:pPr>
            <w:sdt>
              <w:sdtPr>
                <w:rPr>
                  <w:color w:val="000000"/>
                  <w:lang w:val="en-US"/>
                </w:rPr>
                <w:id w:val="1769576795"/>
                <w:citation/>
              </w:sdtPr>
              <w:sdtContent>
                <w:r>
                  <w:rPr>
                    <w:color w:val="000000"/>
                    <w:lang w:val="en-US"/>
                  </w:rPr>
                  <w:fldChar w:fldCharType="begin"/>
                </w:r>
                <w:r>
                  <w:rPr>
                    <w:color w:val="000000"/>
                    <w:lang w:val="en-CA"/>
                  </w:rPr>
                  <w:instrText xml:space="preserve"> CITATION Der16 \l 4105 </w:instrText>
                </w:r>
                <w:r>
                  <w:rPr>
                    <w:color w:val="000000"/>
                    <w:lang w:val="en-US"/>
                  </w:rPr>
                  <w:fldChar w:fldCharType="separate"/>
                </w:r>
                <w:r w:rsidRPr="008A5B73">
                  <w:rPr>
                    <w:noProof/>
                    <w:color w:val="000000"/>
                    <w:lang w:val="en-CA"/>
                  </w:rPr>
                  <w:t>(Derdiger)</w:t>
                </w:r>
                <w:r>
                  <w:rPr>
                    <w:color w:val="000000"/>
                    <w:lang w:val="en-US"/>
                  </w:rPr>
                  <w:fldChar w:fldCharType="end"/>
                </w:r>
              </w:sdtContent>
            </w:sdt>
          </w:p>
          <w:p w:rsidR="009049F3" w:rsidRPr="009049F3" w:rsidRDefault="0041473D" w:rsidP="009049F3">
            <w:pPr>
              <w:spacing w:after="0" w:line="240" w:lineRule="auto"/>
              <w:rPr>
                <w:color w:val="000000"/>
                <w:lang w:val="en-US"/>
              </w:rPr>
            </w:pPr>
            <w:sdt>
              <w:sdtPr>
                <w:rPr>
                  <w:color w:val="000000"/>
                  <w:lang w:val="en-US"/>
                </w:rPr>
                <w:id w:val="-691155553"/>
                <w:citation/>
              </w:sdtPr>
              <w:sdtContent>
                <w:r>
                  <w:rPr>
                    <w:color w:val="000000"/>
                    <w:lang w:val="en-US"/>
                  </w:rPr>
                  <w:fldChar w:fldCharType="begin"/>
                </w:r>
                <w:r>
                  <w:rPr>
                    <w:color w:val="000000"/>
                    <w:lang w:val="en-CA"/>
                  </w:rPr>
                  <w:instrText xml:space="preserve"> CITATION Fer05 \l 4105 </w:instrText>
                </w:r>
                <w:r>
                  <w:rPr>
                    <w:color w:val="000000"/>
                    <w:lang w:val="en-US"/>
                  </w:rPr>
                  <w:fldChar w:fldCharType="separate"/>
                </w:r>
                <w:r w:rsidRPr="0041473D">
                  <w:rPr>
                    <w:noProof/>
                    <w:color w:val="000000"/>
                    <w:lang w:val="en-CA"/>
                  </w:rPr>
                  <w:t>(Ferrebe)</w:t>
                </w:r>
                <w:r>
                  <w:rPr>
                    <w:color w:val="000000"/>
                    <w:lang w:val="en-US"/>
                  </w:rPr>
                  <w:fldChar w:fldCharType="end"/>
                </w:r>
              </w:sdtContent>
            </w:sdt>
          </w:p>
          <w:p w:rsidR="009049F3" w:rsidRPr="009049F3" w:rsidRDefault="005A7BC7" w:rsidP="009049F3">
            <w:pPr>
              <w:spacing w:after="0" w:line="240" w:lineRule="auto"/>
              <w:rPr>
                <w:color w:val="000000"/>
                <w:lang w:val="en-US"/>
              </w:rPr>
            </w:pPr>
            <w:sdt>
              <w:sdtPr>
                <w:rPr>
                  <w:color w:val="000000"/>
                  <w:lang w:val="en-US"/>
                </w:rPr>
                <w:id w:val="-2032873400"/>
                <w:citation/>
              </w:sdtPr>
              <w:sdtContent>
                <w:r>
                  <w:rPr>
                    <w:color w:val="000000"/>
                    <w:lang w:val="en-US"/>
                  </w:rPr>
                  <w:fldChar w:fldCharType="begin"/>
                </w:r>
                <w:r>
                  <w:rPr>
                    <w:color w:val="000000"/>
                    <w:lang w:val="en-CA"/>
                  </w:rPr>
                  <w:instrText xml:space="preserve"> CITATION Gou83 \l 4105 </w:instrText>
                </w:r>
                <w:r>
                  <w:rPr>
                    <w:color w:val="000000"/>
                    <w:lang w:val="en-US"/>
                  </w:rPr>
                  <w:fldChar w:fldCharType="separate"/>
                </w:r>
                <w:r w:rsidRPr="005A7BC7">
                  <w:rPr>
                    <w:noProof/>
                    <w:color w:val="000000"/>
                    <w:lang w:val="en-CA"/>
                  </w:rPr>
                  <w:t>(Gould)</w:t>
                </w:r>
                <w:r>
                  <w:rPr>
                    <w:color w:val="000000"/>
                    <w:lang w:val="en-US"/>
                  </w:rPr>
                  <w:fldChar w:fldCharType="end"/>
                </w:r>
              </w:sdtContent>
            </w:sdt>
          </w:p>
          <w:p w:rsidR="009049F3" w:rsidRPr="009049F3" w:rsidRDefault="008A5B73" w:rsidP="009049F3">
            <w:pPr>
              <w:spacing w:after="0" w:line="240" w:lineRule="auto"/>
              <w:rPr>
                <w:color w:val="000000"/>
                <w:lang w:val="en-US"/>
              </w:rPr>
            </w:pPr>
            <w:sdt>
              <w:sdtPr>
                <w:rPr>
                  <w:color w:val="000000"/>
                  <w:lang w:val="en-US"/>
                </w:rPr>
                <w:id w:val="-1170947803"/>
                <w:citation/>
              </w:sdtPr>
              <w:sdtContent>
                <w:r>
                  <w:rPr>
                    <w:color w:val="000000"/>
                    <w:lang w:val="en-US"/>
                  </w:rPr>
                  <w:fldChar w:fldCharType="begin"/>
                </w:r>
                <w:r>
                  <w:rPr>
                    <w:color w:val="000000"/>
                    <w:lang w:val="en-CA"/>
                  </w:rPr>
                  <w:instrText xml:space="preserve"> CITATION Low05 \l 4105 </w:instrText>
                </w:r>
                <w:r>
                  <w:rPr>
                    <w:color w:val="000000"/>
                    <w:lang w:val="en-US"/>
                  </w:rPr>
                  <w:fldChar w:fldCharType="separate"/>
                </w:r>
                <w:r w:rsidRPr="008A5B73">
                  <w:rPr>
                    <w:noProof/>
                    <w:color w:val="000000"/>
                    <w:lang w:val="en-CA"/>
                  </w:rPr>
                  <w:t>(Low)</w:t>
                </w:r>
                <w:r>
                  <w:rPr>
                    <w:color w:val="000000"/>
                    <w:lang w:val="en-US"/>
                  </w:rPr>
                  <w:fldChar w:fldCharType="end"/>
                </w:r>
              </w:sdtContent>
            </w:sdt>
            <w:bookmarkStart w:id="0" w:name="_GoBack"/>
            <w:bookmarkEnd w:id="0"/>
          </w:p>
          <w:p w:rsidR="009049F3" w:rsidRPr="009049F3" w:rsidRDefault="00D64B8C" w:rsidP="009049F3">
            <w:pPr>
              <w:spacing w:after="0" w:line="240" w:lineRule="auto"/>
              <w:rPr>
                <w:color w:val="000000"/>
                <w:lang w:val="en-US"/>
              </w:rPr>
            </w:pPr>
            <w:sdt>
              <w:sdtPr>
                <w:rPr>
                  <w:color w:val="000000"/>
                  <w:lang w:val="en-US"/>
                </w:rPr>
                <w:id w:val="1969010186"/>
                <w:citation/>
              </w:sdtPr>
              <w:sdtContent>
                <w:r>
                  <w:rPr>
                    <w:color w:val="000000"/>
                    <w:lang w:val="en-US"/>
                  </w:rPr>
                  <w:fldChar w:fldCharType="begin"/>
                </w:r>
                <w:r>
                  <w:rPr>
                    <w:color w:val="000000"/>
                    <w:lang w:val="en-CA"/>
                  </w:rPr>
                  <w:instrText xml:space="preserve"> CITATION McL04 \l 4105 </w:instrText>
                </w:r>
                <w:r>
                  <w:rPr>
                    <w:color w:val="000000"/>
                    <w:lang w:val="en-US"/>
                  </w:rPr>
                  <w:fldChar w:fldCharType="separate"/>
                </w:r>
                <w:r w:rsidRPr="00D64B8C">
                  <w:rPr>
                    <w:noProof/>
                    <w:color w:val="000000"/>
                    <w:lang w:val="en-CA"/>
                  </w:rPr>
                  <w:t>(McLeod)</w:t>
                </w:r>
                <w:r>
                  <w:rPr>
                    <w:color w:val="000000"/>
                    <w:lang w:val="en-US"/>
                  </w:rPr>
                  <w:fldChar w:fldCharType="end"/>
                </w:r>
              </w:sdtContent>
            </w:sdt>
          </w:p>
          <w:p w:rsidR="003235A7" w:rsidRPr="00E06B87" w:rsidRDefault="00D64B8C" w:rsidP="009049F3">
            <w:pPr>
              <w:spacing w:after="0" w:line="240" w:lineRule="auto"/>
              <w:rPr>
                <w:color w:val="000000"/>
              </w:rPr>
            </w:pPr>
            <w:sdt>
              <w:sdtPr>
                <w:rPr>
                  <w:color w:val="000000"/>
                </w:rPr>
                <w:id w:val="883294962"/>
                <w:citation/>
              </w:sdtPr>
              <w:sdtContent>
                <w:r>
                  <w:rPr>
                    <w:color w:val="000000"/>
                  </w:rPr>
                  <w:fldChar w:fldCharType="begin"/>
                </w:r>
                <w:r>
                  <w:rPr>
                    <w:color w:val="000000"/>
                    <w:lang w:val="en-CA"/>
                  </w:rPr>
                  <w:instrText xml:space="preserve"> CITATION Sin89 \l 4105 </w:instrText>
                </w:r>
                <w:r>
                  <w:rPr>
                    <w:color w:val="000000"/>
                  </w:rPr>
                  <w:fldChar w:fldCharType="separate"/>
                </w:r>
                <w:r w:rsidRPr="00D64B8C">
                  <w:rPr>
                    <w:noProof/>
                    <w:color w:val="000000"/>
                    <w:lang w:val="en-CA"/>
                  </w:rPr>
                  <w:t>(Sinfield)</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3B7" w:rsidRDefault="009C63B7" w:rsidP="007A0D55">
      <w:pPr>
        <w:spacing w:after="0" w:line="240" w:lineRule="auto"/>
      </w:pPr>
      <w:r>
        <w:separator/>
      </w:r>
    </w:p>
  </w:endnote>
  <w:endnote w:type="continuationSeparator" w:id="0">
    <w:p w:rsidR="009C63B7" w:rsidRDefault="009C63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3B7" w:rsidRDefault="009C63B7" w:rsidP="007A0D55">
      <w:pPr>
        <w:spacing w:after="0" w:line="240" w:lineRule="auto"/>
      </w:pPr>
      <w:r>
        <w:separator/>
      </w:r>
    </w:p>
  </w:footnote>
  <w:footnote w:type="continuationSeparator" w:id="0">
    <w:p w:rsidR="009C63B7" w:rsidRDefault="009C63B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71"/>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1473D"/>
    <w:rsid w:val="00462DBE"/>
    <w:rsid w:val="00464699"/>
    <w:rsid w:val="00483379"/>
    <w:rsid w:val="00487BC5"/>
    <w:rsid w:val="00496888"/>
    <w:rsid w:val="004A7476"/>
    <w:rsid w:val="004E5896"/>
    <w:rsid w:val="00504A1D"/>
    <w:rsid w:val="00513EE6"/>
    <w:rsid w:val="00534F8F"/>
    <w:rsid w:val="00590035"/>
    <w:rsid w:val="005A7BC7"/>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73"/>
    <w:rsid w:val="008A5B87"/>
    <w:rsid w:val="009049F3"/>
    <w:rsid w:val="00922950"/>
    <w:rsid w:val="009A7264"/>
    <w:rsid w:val="009C63B7"/>
    <w:rsid w:val="009D1606"/>
    <w:rsid w:val="009E18A1"/>
    <w:rsid w:val="009E73D7"/>
    <w:rsid w:val="00A27D2C"/>
    <w:rsid w:val="00A36238"/>
    <w:rsid w:val="00A76FD9"/>
    <w:rsid w:val="00AB436D"/>
    <w:rsid w:val="00AD2F24"/>
    <w:rsid w:val="00AD4844"/>
    <w:rsid w:val="00B219AE"/>
    <w:rsid w:val="00B33145"/>
    <w:rsid w:val="00B574C9"/>
    <w:rsid w:val="00BC39C9"/>
    <w:rsid w:val="00BE5BF7"/>
    <w:rsid w:val="00BF40E1"/>
    <w:rsid w:val="00C27FAB"/>
    <w:rsid w:val="00C358D4"/>
    <w:rsid w:val="00C6296B"/>
    <w:rsid w:val="00C87D86"/>
    <w:rsid w:val="00CC586D"/>
    <w:rsid w:val="00CF1542"/>
    <w:rsid w:val="00CF3EC5"/>
    <w:rsid w:val="00D06DDC"/>
    <w:rsid w:val="00D64B8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047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2CD1"/>
  <w15:chartTrackingRefBased/>
  <w15:docId w15:val="{AC6D1298-47FE-4D28-8A23-4CFEB532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0500">
      <w:bodyDiv w:val="1"/>
      <w:marLeft w:val="0"/>
      <w:marRight w:val="0"/>
      <w:marTop w:val="0"/>
      <w:marBottom w:val="0"/>
      <w:divBdr>
        <w:top w:val="none" w:sz="0" w:space="0" w:color="auto"/>
        <w:left w:val="none" w:sz="0" w:space="0" w:color="auto"/>
        <w:bottom w:val="none" w:sz="0" w:space="0" w:color="auto"/>
        <w:right w:val="none" w:sz="0" w:space="0" w:color="auto"/>
      </w:divBdr>
    </w:div>
    <w:div w:id="596329748">
      <w:bodyDiv w:val="1"/>
      <w:marLeft w:val="0"/>
      <w:marRight w:val="0"/>
      <w:marTop w:val="0"/>
      <w:marBottom w:val="0"/>
      <w:divBdr>
        <w:top w:val="none" w:sz="0" w:space="0" w:color="auto"/>
        <w:left w:val="none" w:sz="0" w:space="0" w:color="auto"/>
        <w:bottom w:val="none" w:sz="0" w:space="0" w:color="auto"/>
        <w:right w:val="none" w:sz="0" w:space="0" w:color="auto"/>
      </w:divBdr>
    </w:div>
    <w:div w:id="1297224903">
      <w:bodyDiv w:val="1"/>
      <w:marLeft w:val="0"/>
      <w:marRight w:val="0"/>
      <w:marTop w:val="0"/>
      <w:marBottom w:val="0"/>
      <w:divBdr>
        <w:top w:val="none" w:sz="0" w:space="0" w:color="auto"/>
        <w:left w:val="none" w:sz="0" w:space="0" w:color="auto"/>
        <w:bottom w:val="none" w:sz="0" w:space="0" w:color="auto"/>
        <w:right w:val="none" w:sz="0" w:space="0" w:color="auto"/>
      </w:divBdr>
    </w:div>
    <w:div w:id="1398046180">
      <w:bodyDiv w:val="1"/>
      <w:marLeft w:val="0"/>
      <w:marRight w:val="0"/>
      <w:marTop w:val="0"/>
      <w:marBottom w:val="0"/>
      <w:divBdr>
        <w:top w:val="none" w:sz="0" w:space="0" w:color="auto"/>
        <w:left w:val="none" w:sz="0" w:space="0" w:color="auto"/>
        <w:bottom w:val="none" w:sz="0" w:space="0" w:color="auto"/>
        <w:right w:val="none" w:sz="0" w:space="0" w:color="auto"/>
      </w:divBdr>
    </w:div>
    <w:div w:id="1560285398">
      <w:bodyDiv w:val="1"/>
      <w:marLeft w:val="0"/>
      <w:marRight w:val="0"/>
      <w:marTop w:val="0"/>
      <w:marBottom w:val="0"/>
      <w:divBdr>
        <w:top w:val="none" w:sz="0" w:space="0" w:color="auto"/>
        <w:left w:val="none" w:sz="0" w:space="0" w:color="auto"/>
        <w:bottom w:val="none" w:sz="0" w:space="0" w:color="auto"/>
        <w:right w:val="none" w:sz="0" w:space="0" w:color="auto"/>
      </w:divBdr>
    </w:div>
    <w:div w:id="1581403948">
      <w:bodyDiv w:val="1"/>
      <w:marLeft w:val="0"/>
      <w:marRight w:val="0"/>
      <w:marTop w:val="0"/>
      <w:marBottom w:val="0"/>
      <w:divBdr>
        <w:top w:val="none" w:sz="0" w:space="0" w:color="auto"/>
        <w:left w:val="none" w:sz="0" w:space="0" w:color="auto"/>
        <w:bottom w:val="none" w:sz="0" w:space="0" w:color="auto"/>
        <w:right w:val="none" w:sz="0" w:space="0" w:color="auto"/>
      </w:divBdr>
    </w:div>
    <w:div w:id="1618294652">
      <w:bodyDiv w:val="1"/>
      <w:marLeft w:val="0"/>
      <w:marRight w:val="0"/>
      <w:marTop w:val="0"/>
      <w:marBottom w:val="0"/>
      <w:divBdr>
        <w:top w:val="none" w:sz="0" w:space="0" w:color="auto"/>
        <w:left w:val="none" w:sz="0" w:space="0" w:color="auto"/>
        <w:bottom w:val="none" w:sz="0" w:space="0" w:color="auto"/>
        <w:right w:val="none" w:sz="0" w:space="0" w:color="auto"/>
      </w:divBdr>
    </w:div>
    <w:div w:id="2069760877">
      <w:bodyDiv w:val="1"/>
      <w:marLeft w:val="0"/>
      <w:marRight w:val="0"/>
      <w:marTop w:val="0"/>
      <w:marBottom w:val="0"/>
      <w:divBdr>
        <w:top w:val="none" w:sz="0" w:space="0" w:color="auto"/>
        <w:left w:val="none" w:sz="0" w:space="0" w:color="auto"/>
        <w:bottom w:val="none" w:sz="0" w:space="0" w:color="auto"/>
        <w:right w:val="none" w:sz="0" w:space="0" w:color="auto"/>
      </w:divBdr>
    </w:div>
    <w:div w:id="207809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Sin89</b:Tag>
    <b:SourceType>Book</b:SourceType>
    <b:Guid>{CF74640A-AA6A-45A1-B5F4-3FFAE42B7BB4}</b:Guid>
    <b:Author>
      <b:Author>
        <b:NameList>
          <b:Person>
            <b:Last>Sinfield</b:Last>
            <b:First>Alan</b:First>
          </b:Person>
        </b:NameList>
      </b:Author>
    </b:Author>
    <b:Title>Literature, Politics and Culture in Postwar Britain</b:Title>
    <b:Year>1989</b:Year>
    <b:City>Oxford</b:City>
    <b:Publisher>Blackwell</b:Publisher>
    <b:RefOrder>8</b:RefOrder>
  </b:Source>
  <b:Source>
    <b:Tag>McL04</b:Tag>
    <b:SourceType>Book</b:SourceType>
    <b:Guid>{B856BA55-F00A-4148-ACA0-963732406014}</b:Guid>
    <b:Author>
      <b:Author>
        <b:NameList>
          <b:Person>
            <b:Last>McLeod</b:Last>
            <b:First>John</b:First>
          </b:Person>
        </b:NameList>
      </b:Author>
    </b:Author>
    <b:Title>Postcolonial London: Rewriting the Metropolis</b:Title>
    <b:Year>2004</b:Year>
    <b:City>London</b:City>
    <b:Publisher>Routledge</b:Publisher>
    <b:RefOrder>7</b:RefOrder>
  </b:Source>
  <b:Source>
    <b:Tag>Pin05</b:Tag>
    <b:SourceType>Book</b:SourceType>
    <b:Guid>{112EC730-1963-4242-A73F-A594216D295C}</b:Guid>
    <b:Author>
      <b:Author>
        <b:NameList>
          <b:Person>
            <b:Last>Pinter</b:Last>
            <b:First>Harold</b:First>
          </b:Person>
          <b:Person>
            <b:Last>Selvon</b:Last>
            <b:First>Sam</b:First>
          </b:Person>
          <b:Person>
            <b:Last>MacInnes</b:Last>
            <b:First>Colin</b:First>
          </b:Person>
          <b:Person>
            <b:Last>Lamming</b:Last>
            <b:First>George</b:First>
          </b:Person>
        </b:NameList>
      </b:Author>
      <b:Editor>
        <b:NameList>
          <b:Person>
            <b:Last>Hooper</b:Last>
            <b:First>Glenn</b:First>
          </b:Person>
        </b:NameList>
      </b:Editor>
    </b:Author>
    <b:Title>Landscape and Empire: 1770-2000</b:Title>
    <b:Year>2005</b:Year>
    <b:City>Aldershot</b:City>
    <b:Publisher>Ashgate</b:Publisher>
    <b:RefOrder>9</b:RefOrder>
  </b:Source>
  <b:Source>
    <b:Tag>Gou83</b:Tag>
    <b:SourceType>Book</b:SourceType>
    <b:Guid>{2B0952C8-6E8A-4B9C-AAD6-22C9BDD2FAD6}</b:Guid>
    <b:Author>
      <b:Author>
        <b:NameList>
          <b:Person>
            <b:Last>Gould</b:Last>
            <b:First>Tony</b:First>
          </b:Person>
        </b:NameList>
      </b:Author>
    </b:Author>
    <b:Title>Inside Outsider: The Life and Times of Colin MacInnes</b:Title>
    <b:Year>1983</b:Year>
    <b:City>London</b:City>
    <b:Publisher>The Hogarth Press</b:Publisher>
    <b:RefOrder>5</b:RefOrder>
  </b:Source>
  <b:Source>
    <b:Tag>Fer05</b:Tag>
    <b:SourceType>Book</b:SourceType>
    <b:Guid>{59AAF5FE-4CFB-4853-8170-2B1BBD199635}</b:Guid>
    <b:Author>
      <b:Author>
        <b:NameList>
          <b:Person>
            <b:Last>Ferrebe</b:Last>
            <b:First>Alice</b:First>
          </b:Person>
        </b:NameList>
      </b:Author>
    </b:Author>
    <b:Title>Masculinity in Male-Authored Fiction 1950-2000</b:Title>
    <b:Year>2005</b:Year>
    <b:City>Basingstoke</b:City>
    <b:Publisher>Palgrave</b:Publisher>
    <b:RefOrder>4</b:RefOrder>
  </b:Source>
  <b:Source>
    <b:Tag>Dav16</b:Tag>
    <b:SourceType>Book</b:SourceType>
    <b:Guid>{67B1CB40-B8CE-43C9-9322-2F70A209AF06}</b:Guid>
    <b:Author>
      <b:Author>
        <b:NameList>
          <b:Person>
            <b:Last>Davis</b:Last>
            <b:First>Thomas</b:First>
          </b:Person>
        </b:NameList>
      </b:Author>
    </b:Author>
    <b:Title>The Extinct Scene: Late Modernism and Everyday Life</b:Title>
    <b:Year>2016</b:Year>
    <b:City>New York</b:City>
    <b:Publisher>Columbia University Press</b:Publisher>
    <b:RefOrder>2</b:RefOrder>
  </b:Source>
  <b:Source>
    <b:Tag>Ben031</b:Tag>
    <b:SourceType>JournalArticle</b:SourceType>
    <b:Guid>{330ACBEA-D043-4627-8424-F4BB1C90E546}</b:Guid>
    <b:Title>Writing 1950s London: Narrative Strategies in Colin MacInnes’s City of Spades and Absolute Beginners</b:Title>
    <b:Year>2003</b:Year>
    <b:Author>
      <b:Author>
        <b:NameList>
          <b:Person>
            <b:Last>Bentley</b:Last>
            <b:First>Nick</b:First>
          </b:Person>
        </b:NameList>
      </b:Author>
    </b:Author>
    <b:JournalName>Literary London Journal</b:JournalName>
    <b:Pages>n. pag.</b:Pages>
    <b:Volume>I</b:Volume>
    <b:Issue>2</b:Issue>
    <b:RefOrder>1</b:RefOrder>
  </b:Source>
  <b:Source>
    <b:Tag>Der16</b:Tag>
    <b:SourceType>JournalArticle</b:SourceType>
    <b:Guid>{35779C1C-414D-44C5-8926-44A33F5146FF}</b:Guid>
    <b:Author>
      <b:Author>
        <b:NameList>
          <b:Person>
            <b:Last>Derdiger</b:Last>
            <b:First>Paula</b:First>
          </b:Person>
        </b:NameList>
      </b:Author>
    </b:Author>
    <b:Title>To Drag Out a Rough Poetry: Colin MacInnes and the New Brutalism in Postwar Britain</b:Title>
    <b:JournalName>Modern Fiction Studies</b:JournalName>
    <b:Year>2016</b:Year>
    <b:Pages>53-69</b:Pages>
    <b:Volume>LXII</b:Volume>
    <b:Issue>1</b:Issue>
    <b:RefOrder>3</b:RefOrder>
  </b:Source>
  <b:Source>
    <b:Tag>Low05</b:Tag>
    <b:SourceType>BookSection</b:SourceType>
    <b:Guid>{4C7D8AAF-66B6-4BBB-8535-1C2177864DA7}</b:Guid>
    <b:Title>Streets, Rooms and Residents: The Urban Uncanny and the Poetics of Space in Harold Pinter, Sam Selvon, Colin Macinnes and George Lamming</b:Title>
    <b:Year>2005</b:Year>
    <b:Author>
      <b:Author>
        <b:NameList>
          <b:Person>
            <b:Last>Low</b:Last>
            <b:First>Gail</b:First>
          </b:Person>
        </b:NameList>
      </b:Author>
      <b:Editor>
        <b:NameList>
          <b:Person>
            <b:Last>Hooper</b:Last>
            <b:First>Glenn</b:First>
          </b:Person>
        </b:NameList>
      </b:Editor>
    </b:Author>
    <b:BookTitle>Landscape and Empire: 1770-2000</b:BookTitle>
    <b:City>Aldershot</b:City>
    <b:Publisher>Ashgate</b:Publisher>
    <b:RefOrder>6</b:RefOrder>
  </b:Source>
</b:Sources>
</file>

<file path=customXml/itemProps1.xml><?xml version="1.0" encoding="utf-8"?>
<ds:datastoreItem xmlns:ds="http://schemas.openxmlformats.org/officeDocument/2006/customXml" ds:itemID="{CB0C4016-EC88-4522-BE2E-A4CC657A0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12</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2016-08-02T20:40:00Z</dcterms:created>
  <dcterms:modified xsi:type="dcterms:W3CDTF">2016-08-02T20:54:00Z</dcterms:modified>
</cp:coreProperties>
</file>