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70DBA9" w14:textId="77777777" w:rsidTr="00922950">
        <w:tc>
          <w:tcPr>
            <w:tcW w:w="491" w:type="dxa"/>
            <w:vMerge w:val="restart"/>
            <w:shd w:val="clear" w:color="auto" w:fill="A6A6A6" w:themeFill="background1" w:themeFillShade="A6"/>
            <w:textDirection w:val="btLr"/>
          </w:tcPr>
          <w:p w14:paraId="1B2FF07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88531BBAE44FDB96C289D55C3DB25B"/>
            </w:placeholder>
            <w:showingPlcHdr/>
            <w:dropDownList>
              <w:listItem w:displayText="Dr." w:value="Dr."/>
              <w:listItem w:displayText="Prof." w:value="Prof."/>
            </w:dropDownList>
          </w:sdtPr>
          <w:sdtEndPr/>
          <w:sdtContent>
            <w:tc>
              <w:tcPr>
                <w:tcW w:w="1259" w:type="dxa"/>
              </w:tcPr>
              <w:p w14:paraId="192984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6087E81AFD491B941A705E66C38A81"/>
            </w:placeholder>
            <w:text/>
          </w:sdtPr>
          <w:sdtEndPr/>
          <w:sdtContent>
            <w:tc>
              <w:tcPr>
                <w:tcW w:w="2073" w:type="dxa"/>
              </w:tcPr>
              <w:p w14:paraId="68C1EA2D" w14:textId="77777777" w:rsidR="00B574C9" w:rsidRDefault="00F620C6" w:rsidP="00F620C6">
                <w:r>
                  <w:t>Kaveh</w:t>
                </w:r>
              </w:p>
            </w:tc>
          </w:sdtContent>
        </w:sdt>
        <w:sdt>
          <w:sdtPr>
            <w:alias w:val="Middle name"/>
            <w:tag w:val="authorMiddleName"/>
            <w:id w:val="-2076034781"/>
            <w:placeholder>
              <w:docPart w:val="C666D1E93E3C44C49C40148AE9350F03"/>
            </w:placeholder>
            <w:showingPlcHdr/>
            <w:text/>
          </w:sdtPr>
          <w:sdtEndPr/>
          <w:sdtContent>
            <w:tc>
              <w:tcPr>
                <w:tcW w:w="2551" w:type="dxa"/>
              </w:tcPr>
              <w:p w14:paraId="7241A307" w14:textId="77777777" w:rsidR="00B574C9" w:rsidRDefault="00B574C9" w:rsidP="00922950">
                <w:r>
                  <w:rPr>
                    <w:rStyle w:val="PlaceholderText"/>
                  </w:rPr>
                  <w:t>[Middle name]</w:t>
                </w:r>
              </w:p>
            </w:tc>
          </w:sdtContent>
        </w:sdt>
        <w:sdt>
          <w:sdtPr>
            <w:alias w:val="Last name"/>
            <w:tag w:val="authorLastName"/>
            <w:id w:val="-1088529830"/>
            <w:placeholder>
              <w:docPart w:val="0B80EBF7FD8B44F295E7DC946F9675DA"/>
            </w:placeholder>
            <w:text/>
          </w:sdtPr>
          <w:sdtEndPr/>
          <w:sdtContent>
            <w:tc>
              <w:tcPr>
                <w:tcW w:w="2642" w:type="dxa"/>
              </w:tcPr>
              <w:p w14:paraId="5B1825D9" w14:textId="77777777" w:rsidR="00B574C9" w:rsidRDefault="00F620C6" w:rsidP="00F620C6">
                <w:r>
                  <w:t>Tagharobi</w:t>
                </w:r>
              </w:p>
            </w:tc>
          </w:sdtContent>
        </w:sdt>
      </w:tr>
      <w:tr w:rsidR="00B574C9" w14:paraId="2D15CA67" w14:textId="77777777" w:rsidTr="001A6A06">
        <w:trPr>
          <w:trHeight w:val="986"/>
        </w:trPr>
        <w:tc>
          <w:tcPr>
            <w:tcW w:w="491" w:type="dxa"/>
            <w:vMerge/>
            <w:shd w:val="clear" w:color="auto" w:fill="A6A6A6" w:themeFill="background1" w:themeFillShade="A6"/>
          </w:tcPr>
          <w:p w14:paraId="2CA7B677" w14:textId="77777777" w:rsidR="00B574C9" w:rsidRPr="001A6A06" w:rsidRDefault="00B574C9" w:rsidP="00CF1542">
            <w:pPr>
              <w:jc w:val="center"/>
              <w:rPr>
                <w:b/>
                <w:color w:val="FFFFFF" w:themeColor="background1"/>
              </w:rPr>
            </w:pPr>
          </w:p>
        </w:tc>
        <w:sdt>
          <w:sdtPr>
            <w:alias w:val="Biography"/>
            <w:tag w:val="authorBiography"/>
            <w:id w:val="938807824"/>
            <w:placeholder>
              <w:docPart w:val="10110165D0C14CF6B76A72682A72C468"/>
            </w:placeholder>
          </w:sdtPr>
          <w:sdtEndPr/>
          <w:sdtContent>
            <w:tc>
              <w:tcPr>
                <w:tcW w:w="8525" w:type="dxa"/>
                <w:gridSpan w:val="4"/>
              </w:tcPr>
              <w:p w14:paraId="390FC56D" w14:textId="77777777" w:rsidR="00B574C9" w:rsidRDefault="001D325B" w:rsidP="001D325B">
                <w:r w:rsidRPr="001D325B">
                  <w:t xml:space="preserve">Kaveh Tagharobi is a graduate student at the University of Victoria, Canada. He is doing a second master’s degree in English Literature with a concentration in the Cultural, Social, and Political Thought (CSPT). His areas of interest are </w:t>
                </w:r>
                <w:r>
                  <w:t>modernism, Iranian studies, and evolutionary literary studies.</w:t>
                </w:r>
              </w:p>
            </w:tc>
          </w:sdtContent>
        </w:sdt>
      </w:tr>
      <w:tr w:rsidR="00B574C9" w14:paraId="48E728C1" w14:textId="77777777" w:rsidTr="001A6A06">
        <w:trPr>
          <w:trHeight w:val="986"/>
        </w:trPr>
        <w:tc>
          <w:tcPr>
            <w:tcW w:w="491" w:type="dxa"/>
            <w:vMerge/>
            <w:shd w:val="clear" w:color="auto" w:fill="A6A6A6" w:themeFill="background1" w:themeFillShade="A6"/>
          </w:tcPr>
          <w:p w14:paraId="3802A929" w14:textId="77777777" w:rsidR="00B574C9" w:rsidRPr="001A6A06" w:rsidRDefault="00B574C9" w:rsidP="00CF1542">
            <w:pPr>
              <w:jc w:val="center"/>
              <w:rPr>
                <w:b/>
                <w:color w:val="FFFFFF" w:themeColor="background1"/>
              </w:rPr>
            </w:pPr>
          </w:p>
        </w:tc>
        <w:sdt>
          <w:sdtPr>
            <w:alias w:val="Affiliation"/>
            <w:tag w:val="affiliation"/>
            <w:id w:val="2012937915"/>
            <w:placeholder>
              <w:docPart w:val="C93E7439A1294E0D846ED82F4CDFAD90"/>
            </w:placeholder>
            <w:text/>
          </w:sdtPr>
          <w:sdtEndPr/>
          <w:sdtContent>
            <w:tc>
              <w:tcPr>
                <w:tcW w:w="8525" w:type="dxa"/>
                <w:gridSpan w:val="4"/>
              </w:tcPr>
              <w:p w14:paraId="59205845" w14:textId="77777777" w:rsidR="00B574C9" w:rsidRDefault="00F620C6" w:rsidP="00F620C6">
                <w:r>
                  <w:t>University of Victoria</w:t>
                </w:r>
              </w:p>
            </w:tc>
          </w:sdtContent>
        </w:sdt>
      </w:tr>
    </w:tbl>
    <w:p w14:paraId="67135E3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45A7B9" w14:textId="77777777" w:rsidTr="00244BB0">
        <w:tc>
          <w:tcPr>
            <w:tcW w:w="9016" w:type="dxa"/>
            <w:shd w:val="clear" w:color="auto" w:fill="A6A6A6" w:themeFill="background1" w:themeFillShade="A6"/>
            <w:tcMar>
              <w:top w:w="113" w:type="dxa"/>
              <w:bottom w:w="113" w:type="dxa"/>
            </w:tcMar>
          </w:tcPr>
          <w:p w14:paraId="6D121F3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506DCA" w14:textId="77777777" w:rsidTr="003F0D73">
        <w:sdt>
          <w:sdtPr>
            <w:alias w:val="Article headword"/>
            <w:tag w:val="articleHeadword"/>
            <w:id w:val="-361440020"/>
            <w:placeholder>
              <w:docPart w:val="AA25C331D23040C4A6FB7C5E5600C845"/>
            </w:placeholder>
            <w:text/>
          </w:sdtPr>
          <w:sdtEndPr/>
          <w:sdtContent>
            <w:tc>
              <w:tcPr>
                <w:tcW w:w="9016" w:type="dxa"/>
                <w:tcMar>
                  <w:top w:w="113" w:type="dxa"/>
                  <w:bottom w:w="113" w:type="dxa"/>
                </w:tcMar>
              </w:tcPr>
              <w:p w14:paraId="6A405D84" w14:textId="77777777" w:rsidR="003F0D73" w:rsidRPr="00FB589A" w:rsidRDefault="00F620C6" w:rsidP="00431B7F">
                <w:proofErr w:type="spellStart"/>
                <w:r>
                  <w:t>Hedayat</w:t>
                </w:r>
                <w:proofErr w:type="spellEnd"/>
                <w:r>
                  <w:t xml:space="preserve">, </w:t>
                </w:r>
                <w:proofErr w:type="spellStart"/>
                <w:r>
                  <w:t>Sadegh</w:t>
                </w:r>
                <w:proofErr w:type="spellEnd"/>
                <w:r>
                  <w:t xml:space="preserve"> (1903–1951)</w:t>
                </w:r>
              </w:p>
            </w:tc>
          </w:sdtContent>
        </w:sdt>
      </w:tr>
      <w:tr w:rsidR="00464699" w14:paraId="2545D0E4" w14:textId="77777777" w:rsidTr="007821B0">
        <w:sdt>
          <w:sdtPr>
            <w:alias w:val="Variant headwords"/>
            <w:tag w:val="variantHeadwords"/>
            <w:id w:val="173464402"/>
            <w:placeholder>
              <w:docPart w:val="6B0D409CD100405688FBFCE225434A43"/>
            </w:placeholder>
          </w:sdtPr>
          <w:sdtEndPr/>
          <w:sdtContent>
            <w:tc>
              <w:tcPr>
                <w:tcW w:w="9016" w:type="dxa"/>
                <w:tcMar>
                  <w:top w:w="113" w:type="dxa"/>
                  <w:bottom w:w="113" w:type="dxa"/>
                </w:tcMar>
              </w:tcPr>
              <w:p w14:paraId="2290BA3F" w14:textId="77777777" w:rsidR="00464699" w:rsidRDefault="00F620C6" w:rsidP="00935B2A">
                <w:proofErr w:type="spellStart"/>
                <w:r w:rsidRPr="00DA4B1A">
                  <w:t>Sadeq</w:t>
                </w:r>
                <w:proofErr w:type="spellEnd"/>
                <w:r w:rsidRPr="00DA4B1A">
                  <w:t xml:space="preserve"> </w:t>
                </w:r>
                <w:proofErr w:type="spellStart"/>
                <w:r w:rsidRPr="00DA4B1A">
                  <w:t>Hedayat</w:t>
                </w:r>
                <w:proofErr w:type="spellEnd"/>
                <w:r w:rsidR="00D83632" w:rsidRPr="00DA4B1A">
                  <w:t xml:space="preserve"> | </w:t>
                </w:r>
                <w:proofErr w:type="spellStart"/>
                <w:r w:rsidRPr="00DA4B1A">
                  <w:t>Sādeq</w:t>
                </w:r>
                <w:proofErr w:type="spellEnd"/>
                <w:r w:rsidRPr="00DA4B1A">
                  <w:t xml:space="preserve"> </w:t>
                </w:r>
                <w:proofErr w:type="spellStart"/>
                <w:r w:rsidRPr="00DA4B1A">
                  <w:t>Hedāyat</w:t>
                </w:r>
                <w:proofErr w:type="spellEnd"/>
                <w:r w:rsidR="00D83632" w:rsidRPr="00DA4B1A">
                  <w:t xml:space="preserve"> | </w:t>
                </w:r>
                <w:proofErr w:type="spellStart"/>
                <w:r w:rsidRPr="00DA4B1A">
                  <w:t>Sādegh</w:t>
                </w:r>
                <w:proofErr w:type="spellEnd"/>
                <w:r w:rsidRPr="00DA4B1A">
                  <w:t xml:space="preserve"> </w:t>
                </w:r>
                <w:proofErr w:type="spellStart"/>
                <w:r w:rsidRPr="00DA4B1A">
                  <w:t>Hedāyat</w:t>
                </w:r>
                <w:proofErr w:type="spellEnd"/>
                <w:r w:rsidR="00D83632" w:rsidRPr="00DA4B1A">
                  <w:t xml:space="preserve"> | </w:t>
                </w:r>
                <w:r w:rsidR="00935B2A" w:rsidRPr="00DA4B1A">
                  <w:rPr>
                    <w:rFonts w:hint="cs"/>
                    <w:rtl/>
                  </w:rPr>
                  <w:t xml:space="preserve">صادق هدایت </w:t>
                </w:r>
                <w:r w:rsidR="00935B2A" w:rsidRPr="00DA4B1A">
                  <w:t xml:space="preserve"> | </w:t>
                </w:r>
                <w:r w:rsidR="00935B2A" w:rsidRPr="00DA4B1A">
                  <w:rPr>
                    <w:rFonts w:hint="cs"/>
                    <w:rtl/>
                  </w:rPr>
                  <w:t>هادی</w:t>
                </w:r>
                <w:r w:rsidR="00935B2A" w:rsidRPr="00DA4B1A">
                  <w:rPr>
                    <w:rtl/>
                  </w:rPr>
                  <w:t xml:space="preserve"> </w:t>
                </w:r>
                <w:r w:rsidR="00935B2A" w:rsidRPr="00DA4B1A">
                  <w:rPr>
                    <w:rFonts w:hint="cs"/>
                    <w:rtl/>
                  </w:rPr>
                  <w:t>صداقت</w:t>
                </w:r>
              </w:p>
            </w:tc>
          </w:sdtContent>
        </w:sdt>
      </w:tr>
      <w:tr w:rsidR="00E85A05" w14:paraId="2D878455" w14:textId="77777777" w:rsidTr="003F0D73">
        <w:sdt>
          <w:sdtPr>
            <w:alias w:val="Abstract"/>
            <w:tag w:val="abstract"/>
            <w:id w:val="-635871867"/>
            <w:placeholder>
              <w:docPart w:val="262449D321F6402B893347F1CB6EE2A2"/>
            </w:placeholder>
          </w:sdtPr>
          <w:sdtEndPr/>
          <w:sdtContent>
            <w:tc>
              <w:tcPr>
                <w:tcW w:w="9016" w:type="dxa"/>
                <w:tcMar>
                  <w:top w:w="113" w:type="dxa"/>
                  <w:bottom w:w="113" w:type="dxa"/>
                </w:tcMar>
              </w:tcPr>
              <w:p w14:paraId="026B71AE" w14:textId="77777777" w:rsidR="00DA4B1A" w:rsidRPr="00DA4B1A" w:rsidRDefault="00DA4B1A" w:rsidP="00DA4B1A">
                <w:pPr>
                  <w:keepNext/>
                </w:pPr>
                <w:r w:rsidRPr="00DA4B1A">
                  <w:t>File: Hedayat_portrait.jpg</w:t>
                </w:r>
              </w:p>
              <w:p w14:paraId="6EF4D230" w14:textId="77777777" w:rsidR="00DA4B1A" w:rsidRDefault="00DA4B1A" w:rsidP="00FD3125">
                <w:pPr>
                  <w:pStyle w:val="Caption"/>
                  <w:rPr>
                    <w:lang w:val="en-CA"/>
                  </w:rPr>
                </w:pPr>
                <w:r>
                  <w:t xml:space="preserve">Figure </w:t>
                </w:r>
                <w:fldSimple w:instr=" SEQ Figure \* ARABIC ">
                  <w:r w:rsidR="00FD3125">
                    <w:rPr>
                      <w:noProof/>
                    </w:rPr>
                    <w:t>1</w:t>
                  </w:r>
                </w:fldSimple>
                <w:r w:rsidR="00FD3125">
                  <w:rPr>
                    <w:lang w:val="en-CA"/>
                  </w:rPr>
                  <w:t xml:space="preserve"> Last portrait of </w:t>
                </w:r>
                <w:proofErr w:type="spellStart"/>
                <w:r w:rsidR="00FD3125">
                  <w:rPr>
                    <w:lang w:val="en-CA"/>
                  </w:rPr>
                  <w:t>Hedayat</w:t>
                </w:r>
                <w:proofErr w:type="spellEnd"/>
                <w:r w:rsidR="00FD3125">
                  <w:rPr>
                    <w:lang w:val="en-CA"/>
                  </w:rPr>
                  <w:t xml:space="preserve"> in 1951</w:t>
                </w:r>
              </w:p>
              <w:p w14:paraId="41305B33" w14:textId="77777777" w:rsidR="00431B7F" w:rsidRDefault="00431B7F" w:rsidP="00431B7F">
                <w:pPr>
                  <w:pStyle w:val="Authornote"/>
                </w:pPr>
                <w:r>
                  <w:t>[[</w:t>
                </w:r>
                <w:proofErr w:type="gramStart"/>
                <w:r>
                  <w:t>source</w:t>
                </w:r>
                <w:proofErr w:type="gramEnd"/>
                <w:r>
                  <w:t xml:space="preserve">: </w:t>
                </w:r>
                <w:r w:rsidRPr="00431B7F">
                  <w:t>https://en.wikipedia.org/wiki/Sadegh_Hedayat</w:t>
                </w:r>
                <w:r>
                  <w:t>]]</w:t>
                </w:r>
              </w:p>
              <w:p w14:paraId="77278353" w14:textId="77777777" w:rsidR="00431B7F" w:rsidRPr="00431B7F" w:rsidRDefault="00431B7F" w:rsidP="00431B7F"/>
              <w:p w14:paraId="41E5F226" w14:textId="77777777" w:rsidR="00E85A05" w:rsidRPr="00DA4B1A" w:rsidRDefault="00DA4B1A" w:rsidP="00431B7F">
                <w:pPr>
                  <w:rPr>
                    <w:rFonts w:ascii="Helvetica" w:eastAsia="Times New Roman" w:hAnsi="Helvetica" w:cs="Helvetica"/>
                    <w:color w:val="000000"/>
                    <w:sz w:val="21"/>
                    <w:szCs w:val="21"/>
                  </w:rPr>
                </w:pPr>
                <w:proofErr w:type="spellStart"/>
                <w:r w:rsidRPr="00DA4B1A">
                  <w:t>Sadegh</w:t>
                </w:r>
                <w:proofErr w:type="spellEnd"/>
                <w:r w:rsidRPr="00DA4B1A">
                  <w:t xml:space="preserve"> </w:t>
                </w:r>
                <w:proofErr w:type="spellStart"/>
                <w:r w:rsidRPr="00DA4B1A">
                  <w:t>Hedayat</w:t>
                </w:r>
                <w:proofErr w:type="spellEnd"/>
                <w:r w:rsidRPr="00DA4B1A">
                  <w:t xml:space="preserve"> (1903–1951) was an Iranian writer and intellectual who was highly influential in forming Iranian literary Modernism. His short stories and novellas set the best examples of such literary forms in Persian literature, which was up until then exclusively defined by its old traditions of classical poetry. </w:t>
                </w:r>
                <w:proofErr w:type="spellStart"/>
                <w:r w:rsidRPr="00DA4B1A">
                  <w:t>Hedayat</w:t>
                </w:r>
                <w:proofErr w:type="spellEnd"/>
                <w:r w:rsidRPr="00DA4B1A">
                  <w:t xml:space="preserve"> also contributed to the Iranian experience of modernity by forming intellectual circles and promoting critical thinking toward the norms and traditions of Iranian culture and society. While his major contributions in writing were short stories and novellas, he also wrote plays, essays, satirical pieces, folklore studies, travelogues, and translated several works by European Modernist authors into Persian. His own works, in turn, were translated into other languages. Most notably, his magnum opus, </w:t>
                </w:r>
                <w:r w:rsidRPr="00431B7F">
                  <w:rPr>
                    <w:i/>
                  </w:rPr>
                  <w:t>The Blind Owl</w:t>
                </w:r>
                <w:r w:rsidRPr="00DA4B1A">
                  <w:t xml:space="preserve">, is translated into about 30 languages. Among the major themes in his works are the absurdity of human existence, the psychological sufferings and alienation of modern characters, and the hypocrisy, follies, and pains of Iranian traditional lower class. </w:t>
                </w:r>
                <w:proofErr w:type="spellStart"/>
                <w:r w:rsidRPr="00DA4B1A">
                  <w:t>Hedayat</w:t>
                </w:r>
                <w:proofErr w:type="spellEnd"/>
                <w:r w:rsidRPr="00DA4B1A">
                  <w:t xml:space="preserve"> spent a few years of his </w:t>
                </w:r>
                <w:r w:rsidR="00431B7F">
                  <w:t>twenties</w:t>
                </w:r>
                <w:r w:rsidRPr="00DA4B1A">
                  <w:t xml:space="preserve"> in Europe, and during that time, not only did he learn a lot about the Western culture, but also gained a deeper understanding of Iranian society and culture through that knowledge. He always maintained a sharp critical outlook toward his environment, and this was reflected both in his works and personal life.</w:t>
                </w:r>
                <w:r>
                  <w:rPr>
                    <w:rFonts w:ascii="Helvetica" w:eastAsia="Times New Roman" w:hAnsi="Helvetica" w:cs="Helvetica"/>
                    <w:color w:val="000000"/>
                    <w:sz w:val="21"/>
                    <w:szCs w:val="21"/>
                  </w:rPr>
                  <w:t xml:space="preserve"> </w:t>
                </w:r>
              </w:p>
            </w:tc>
          </w:sdtContent>
        </w:sdt>
      </w:tr>
      <w:tr w:rsidR="003F0D73" w14:paraId="6D642DDE" w14:textId="77777777" w:rsidTr="003F0D73">
        <w:sdt>
          <w:sdtPr>
            <w:alias w:val="Article text"/>
            <w:tag w:val="articleText"/>
            <w:id w:val="634067588"/>
            <w:placeholder>
              <w:docPart w:val="7B579A28546C43E4AB71A5A6CBA2DC42"/>
            </w:placeholder>
          </w:sdtPr>
          <w:sdtEndPr>
            <w:rPr>
              <w:rFonts w:asciiTheme="minorHAnsi" w:eastAsiaTheme="minorHAnsi" w:hAnsiTheme="minorHAnsi" w:cstheme="minorBidi"/>
              <w:b w:val="0"/>
              <w:color w:val="auto"/>
              <w:szCs w:val="22"/>
            </w:rPr>
          </w:sdtEndPr>
          <w:sdtContent>
            <w:bookmarkStart w:id="0" w:name="OLE_LINK1" w:displacedByCustomXml="prev"/>
            <w:bookmarkStart w:id="1" w:name="OLE_LINK2" w:displacedByCustomXml="prev"/>
            <w:tc>
              <w:tcPr>
                <w:tcW w:w="9016" w:type="dxa"/>
                <w:tcMar>
                  <w:top w:w="113" w:type="dxa"/>
                  <w:bottom w:w="113" w:type="dxa"/>
                </w:tcMar>
              </w:tcPr>
              <w:p w14:paraId="42EC7344" w14:textId="77777777" w:rsidR="0063478B" w:rsidRDefault="0063478B" w:rsidP="00431B7F">
                <w:pPr>
                  <w:pStyle w:val="Heading1"/>
                  <w:outlineLvl w:val="0"/>
                </w:pPr>
                <w:r>
                  <w:t>Life</w:t>
                </w:r>
              </w:p>
              <w:p w14:paraId="040ECF00" w14:textId="77777777" w:rsidR="0063478B" w:rsidRPr="00CC7FE2" w:rsidRDefault="0063478B" w:rsidP="00DA4B1A">
                <w:proofErr w:type="spellStart"/>
                <w:r w:rsidRPr="00CC7FE2">
                  <w:t>Sadegh</w:t>
                </w:r>
                <w:proofErr w:type="spellEnd"/>
                <w:r w:rsidRPr="00CC7FE2">
                  <w:t xml:space="preserve"> </w:t>
                </w:r>
                <w:proofErr w:type="spellStart"/>
                <w:r w:rsidRPr="00CC7FE2">
                  <w:t>Hedayat</w:t>
                </w:r>
                <w:proofErr w:type="spellEnd"/>
                <w:r w:rsidRPr="00CC7FE2">
                  <w:t xml:space="preserve"> was born in 1903 in Tehran, </w:t>
                </w:r>
                <w:proofErr w:type="gramStart"/>
                <w:r w:rsidRPr="00CC7FE2">
                  <w:t>Iran,</w:t>
                </w:r>
                <w:proofErr w:type="gramEnd"/>
                <w:r w:rsidRPr="00CC7FE2">
                  <w:t xml:space="preserve"> into a declining aristocrat family with connections to both Qajar and Pahlavi courts and relatives holding government posts as high as the prime minister. He went to the progressive schools of Tehran including the </w:t>
                </w:r>
                <w:proofErr w:type="spellStart"/>
                <w:r w:rsidRPr="00CC7FE2">
                  <w:t>École</w:t>
                </w:r>
                <w:proofErr w:type="spellEnd"/>
                <w:r w:rsidRPr="00CC7FE2">
                  <w:t xml:space="preserve"> Saint-Louis</w:t>
                </w:r>
                <w:r>
                  <w:t>,</w:t>
                </w:r>
                <w:r w:rsidRPr="00CC7FE2">
                  <w:t xml:space="preserve"> where he learned French and was drawn towards modern Western literature. During this time, he started writing and publishing his first short stories and essays. These early works hint at some of his future themes such as the occult and the macabre, animal rights, and existential and ontological questions about human existence.</w:t>
                </w:r>
              </w:p>
              <w:p w14:paraId="4727D791" w14:textId="77777777" w:rsidR="0063478B" w:rsidRDefault="0063478B" w:rsidP="00DA4B1A">
                <w:r w:rsidRPr="00CC7FE2">
                  <w:br/>
                </w:r>
                <w:proofErr w:type="spellStart"/>
                <w:r w:rsidRPr="00CC7FE2">
                  <w:t>Hedayat</w:t>
                </w:r>
                <w:proofErr w:type="spellEnd"/>
                <w:r w:rsidRPr="00CC7FE2">
                  <w:t xml:space="preserve"> was among the first cohort of students who were sent to Europe by</w:t>
                </w:r>
                <w:r w:rsidRPr="00BA05FB">
                  <w:t xml:space="preserve"> the government in 1926 shortly after </w:t>
                </w:r>
                <w:r>
                  <w:t xml:space="preserve">the </w:t>
                </w:r>
                <w:proofErr w:type="spellStart"/>
                <w:r>
                  <w:t>Pahlavis</w:t>
                </w:r>
                <w:proofErr w:type="spellEnd"/>
                <w:r>
                  <w:t xml:space="preserve"> replaced the </w:t>
                </w:r>
                <w:proofErr w:type="spellStart"/>
                <w:r>
                  <w:t>Qajars</w:t>
                </w:r>
                <w:proofErr w:type="spellEnd"/>
                <w:r w:rsidRPr="00BA05FB">
                  <w:t>.</w:t>
                </w:r>
                <w:r>
                  <w:t xml:space="preserve"> Troubled by the rigid rules of state-funded education and unimpressed by the subjects chosen for him, he spent over four years in Belgium and France, constantly struggling with field changes, moves, scholarship authorities, and above all, his dissatisfied</w:t>
                </w:r>
                <w:r w:rsidR="00431B7F">
                  <w:t xml:space="preserve"> and rebellious mind. </w:t>
                </w:r>
                <w:r>
                  <w:t xml:space="preserve">However, these struggles – including an unsuccessful suicide attempt – were not all he took from his time in Europe. Time away from his studies was spent writing, reading, watching movies, listening to music, and most importantly observing. </w:t>
                </w:r>
                <w:proofErr w:type="spellStart"/>
                <w:r>
                  <w:t>Hedayat</w:t>
                </w:r>
                <w:proofErr w:type="spellEnd"/>
                <w:r>
                  <w:t xml:space="preserve"> was an acute observer of the modern culture and society, and unlike the majority of Iranian students who would remain insulated, he came back to Iran with first-hand experiences and a profound understanding of modernity and Modernism. When </w:t>
                </w:r>
                <w:proofErr w:type="spellStart"/>
                <w:r>
                  <w:t>Hedayat</w:t>
                </w:r>
                <w:proofErr w:type="spellEnd"/>
                <w:r>
                  <w:t xml:space="preserve"> returned to Tehran in 1930, he had written at least some early drafts of a few works, which he started publishing the same year. </w:t>
                </w:r>
                <w:r w:rsidRPr="00E32944">
                  <w:t xml:space="preserve">In Iran, besides constantly quitting government jobs, he continued writing and publishing despite the </w:t>
                </w:r>
                <w:r>
                  <w:t>resistance of</w:t>
                </w:r>
                <w:r w:rsidRPr="00E32944">
                  <w:t xml:space="preserve"> both the literary critics and the authorities toward his subversive ideas and </w:t>
                </w:r>
                <w:r>
                  <w:t>M</w:t>
                </w:r>
                <w:r w:rsidRPr="00E32944">
                  <w:t xml:space="preserve">odernist style. </w:t>
                </w:r>
                <w:r>
                  <w:t>Such criticisms,</w:t>
                </w:r>
                <w:r w:rsidRPr="00E32944">
                  <w:t xml:space="preserve"> however, alongside his </w:t>
                </w:r>
                <w:r>
                  <w:t>personal</w:t>
                </w:r>
                <w:r w:rsidRPr="00E32944">
                  <w:t xml:space="preserve"> sense of </w:t>
                </w:r>
                <w:r>
                  <w:t>disillusionment</w:t>
                </w:r>
                <w:r w:rsidRPr="00E32944">
                  <w:t xml:space="preserve"> made him less prolific in the final years of the ‘40s. He returned to Europe in early 195</w:t>
                </w:r>
                <w:r>
                  <w:t>1</w:t>
                </w:r>
                <w:r w:rsidRPr="00E32944">
                  <w:t xml:space="preserve">, and a few months later took his own life in Paris. </w:t>
                </w:r>
              </w:p>
              <w:p w14:paraId="5E85A1BA" w14:textId="77777777" w:rsidR="0063478B" w:rsidRDefault="0063478B" w:rsidP="00DA4B1A">
                <w:pPr>
                  <w:rPr>
                    <w:rFonts w:ascii="Helvetica" w:eastAsia="Times New Roman" w:hAnsi="Helvetica" w:cs="Helvetica"/>
                    <w:color w:val="000000"/>
                    <w:sz w:val="21"/>
                    <w:szCs w:val="21"/>
                  </w:rPr>
                </w:pPr>
              </w:p>
              <w:p w14:paraId="479A446C" w14:textId="77777777" w:rsidR="0063478B" w:rsidRPr="00BE344B" w:rsidRDefault="0063478B" w:rsidP="00400520">
                <w:pPr>
                  <w:pStyle w:val="Heading1"/>
                  <w:outlineLvl w:val="0"/>
                  <w:rPr>
                    <w:rFonts w:eastAsia="Times New Roman"/>
                  </w:rPr>
                </w:pPr>
                <w:r w:rsidRPr="00BE344B">
                  <w:rPr>
                    <w:rFonts w:eastAsia="Times New Roman"/>
                  </w:rPr>
                  <w:t>Works</w:t>
                </w:r>
              </w:p>
              <w:p w14:paraId="043FB3A3" w14:textId="77777777" w:rsidR="0063478B" w:rsidRDefault="0063478B" w:rsidP="00DA4B1A">
                <w:r>
                  <w:t xml:space="preserve">During his rather short life, </w:t>
                </w:r>
                <w:proofErr w:type="spellStart"/>
                <w:r>
                  <w:t>Hedayat</w:t>
                </w:r>
                <w:proofErr w:type="spellEnd"/>
                <w:r>
                  <w:t xml:space="preserve"> </w:t>
                </w:r>
                <w:r w:rsidRPr="00BE344B">
                  <w:t>wrote over 40 novellas</w:t>
                </w:r>
                <w:r>
                  <w:t xml:space="preserve">, short story collections, plays, satirical </w:t>
                </w:r>
                <w:r>
                  <w:lastRenderedPageBreak/>
                  <w:t>pieces, translations, essays, travelogues, and folklore studies. Most of these, however, remained unpublished or were published limitedly during his life. Even today, some of his writings have remained obscure, partly due to the censorship but more because of the myth-like fame (or notoriety) around him and few of his works.</w:t>
                </w:r>
              </w:p>
              <w:p w14:paraId="1ADB23DF" w14:textId="77777777" w:rsidR="0063478B" w:rsidRDefault="0063478B" w:rsidP="00DA4B1A"/>
              <w:p w14:paraId="63FBE991" w14:textId="77777777" w:rsidR="0063478B" w:rsidRDefault="0063478B" w:rsidP="00DA4B1A">
                <w:r w:rsidRPr="00D74CD8">
                  <w:t xml:space="preserve">Among such works is </w:t>
                </w:r>
                <w:proofErr w:type="spellStart"/>
                <w:r w:rsidRPr="00D74CD8">
                  <w:rPr>
                    <w:i/>
                    <w:iCs/>
                  </w:rPr>
                  <w:t>Būf</w:t>
                </w:r>
                <w:proofErr w:type="spellEnd"/>
                <w:r w:rsidRPr="00D74CD8">
                  <w:rPr>
                    <w:i/>
                    <w:iCs/>
                  </w:rPr>
                  <w:t xml:space="preserve">-e </w:t>
                </w:r>
                <w:proofErr w:type="spellStart"/>
                <w:r w:rsidRPr="00D74CD8">
                  <w:rPr>
                    <w:i/>
                    <w:iCs/>
                  </w:rPr>
                  <w:t>Kūr</w:t>
                </w:r>
                <w:proofErr w:type="spellEnd"/>
                <w:r w:rsidRPr="00A63E1D">
                  <w:t xml:space="preserve"> </w:t>
                </w:r>
                <w:r w:rsidRPr="00D74CD8">
                  <w:t>(</w:t>
                </w:r>
                <w:r w:rsidRPr="00D74CD8">
                  <w:rPr>
                    <w:i/>
                    <w:iCs/>
                  </w:rPr>
                  <w:t>The Blind Owl</w:t>
                </w:r>
                <w:r>
                  <w:t xml:space="preserve">), a novella written probably in 1930, but published in 1937 manually by </w:t>
                </w:r>
                <w:proofErr w:type="spellStart"/>
                <w:r>
                  <w:t>Hedayat</w:t>
                </w:r>
                <w:proofErr w:type="spellEnd"/>
                <w:r>
                  <w:t xml:space="preserve"> and in 50 copies during a year-long trip in India. </w:t>
                </w:r>
                <w:proofErr w:type="spellStart"/>
                <w:r>
                  <w:t>Hedayat</w:t>
                </w:r>
                <w:proofErr w:type="spellEnd"/>
                <w:r>
                  <w:t xml:space="preserve"> did this in fear of censorship, and it was only after the occupation of Iran by the Allies during the Second World War and the relative freedom created after the abdication of Reza Shah that it was serialized in </w:t>
                </w:r>
                <w:r w:rsidRPr="00844543">
                  <w:rPr>
                    <w:i/>
                    <w:iCs/>
                  </w:rPr>
                  <w:t>Iran</w:t>
                </w:r>
                <w:r>
                  <w:t xml:space="preserve"> newspaper in 1941 and published as a book the next year. </w:t>
                </w:r>
                <w:r w:rsidRPr="004D1AD7">
                  <w:rPr>
                    <w:i/>
                    <w:iCs/>
                  </w:rPr>
                  <w:t>The Blind Owl</w:t>
                </w:r>
                <w:r>
                  <w:t xml:space="preserve"> is the monologues of a hallucinatory narrator who is suffering agonies in a dark and corrupted world of the “scoundrels” and the “bitches.” A highly surrealist story, this book is known for smudging the lines between reality and imagination. The characters and events keep merging into each other in the non-linear repetition of gloomy images, creating a sense of the narrator’s nightmares. </w:t>
                </w:r>
                <w:proofErr w:type="gramStart"/>
                <w:r>
                  <w:t>Its</w:t>
                </w:r>
                <w:proofErr w:type="gramEnd"/>
                <w:r>
                  <w:t xml:space="preserve"> complicated – and in Iran, completely new – style alongside its dismal setting and shocking thoughts have made </w:t>
                </w:r>
                <w:r w:rsidRPr="00803278">
                  <w:rPr>
                    <w:i/>
                    <w:iCs/>
                  </w:rPr>
                  <w:t>The Blind Owl</w:t>
                </w:r>
                <w:r>
                  <w:t xml:space="preserve"> </w:t>
                </w:r>
                <w:proofErr w:type="spellStart"/>
                <w:r>
                  <w:t>Hedayat’s</w:t>
                </w:r>
                <w:proofErr w:type="spellEnd"/>
                <w:r>
                  <w:t xml:space="preserve"> most famous work at home and abroad. Many critics see it as the pioneering Modernist work of Iranian literature. It was translated into French during </w:t>
                </w:r>
                <w:proofErr w:type="spellStart"/>
                <w:r>
                  <w:t>Hedayat’s</w:t>
                </w:r>
                <w:proofErr w:type="spellEnd"/>
                <w:r>
                  <w:t xml:space="preserve"> life time, and after that, it has been translated into about 30 other languages. Some of </w:t>
                </w:r>
                <w:proofErr w:type="spellStart"/>
                <w:r>
                  <w:t>Hedayat’s</w:t>
                </w:r>
                <w:proofErr w:type="spellEnd"/>
                <w:r>
                  <w:t xml:space="preserve"> contemporary Modernist writers have praised the book. It has been called a Surrealist masterpiece by the founders of the movement, André Breton and Philippe </w:t>
                </w:r>
                <w:proofErr w:type="spellStart"/>
                <w:r>
                  <w:t>Soupault</w:t>
                </w:r>
                <w:proofErr w:type="spellEnd"/>
                <w:r>
                  <w:t xml:space="preserve">, and Henry Miller liked </w:t>
                </w:r>
                <w:r>
                  <w:rPr>
                    <w:lang w:bidi="fa-IR"/>
                  </w:rPr>
                  <w:t>the book so much he tried to help adapt it into a movie, albeit with no success</w:t>
                </w:r>
                <w:r>
                  <w:rPr>
                    <w:rStyle w:val="EndnoteReference"/>
                    <w:rFonts w:ascii="Helvetica" w:eastAsia="Times New Roman" w:hAnsi="Helvetica" w:cs="Helvetica"/>
                    <w:color w:val="000000"/>
                    <w:sz w:val="21"/>
                    <w:szCs w:val="21"/>
                    <w:lang w:bidi="fa-IR"/>
                  </w:rPr>
                  <w:endnoteReference w:id="1"/>
                </w:r>
                <w:r>
                  <w:rPr>
                    <w:lang w:bidi="fa-IR"/>
                  </w:rPr>
                  <w:t>. The book was adapted into film by several Iranian and non-Iranian directors, most notab</w:t>
                </w:r>
                <w:r w:rsidR="00400520">
                  <w:rPr>
                    <w:lang w:bidi="fa-IR"/>
                  </w:rPr>
                  <w:t>ly in 1987 by the Chilean avant-</w:t>
                </w:r>
                <w:r>
                  <w:rPr>
                    <w:lang w:bidi="fa-IR"/>
                  </w:rPr>
                  <w:t xml:space="preserve">garde filmmaker, </w:t>
                </w:r>
                <w:proofErr w:type="spellStart"/>
                <w:r w:rsidRPr="00020F81">
                  <w:rPr>
                    <w:lang w:bidi="fa-IR"/>
                  </w:rPr>
                  <w:t>Raúl</w:t>
                </w:r>
                <w:proofErr w:type="spellEnd"/>
                <w:r w:rsidRPr="00020F81">
                  <w:rPr>
                    <w:lang w:bidi="fa-IR"/>
                  </w:rPr>
                  <w:t xml:space="preserve"> Ruiz</w:t>
                </w:r>
                <w:r>
                  <w:rPr>
                    <w:lang w:bidi="fa-IR"/>
                  </w:rPr>
                  <w:t>.</w:t>
                </w:r>
              </w:p>
              <w:p w14:paraId="523C4B6C" w14:textId="77777777" w:rsidR="0063478B" w:rsidRPr="00400520" w:rsidRDefault="0063478B" w:rsidP="00400520">
                <w:pPr>
                  <w:rPr>
                    <w:i/>
                    <w:iCs/>
                  </w:rPr>
                </w:pPr>
                <w:r w:rsidRPr="000A6BA5">
                  <w:br/>
                </w:r>
                <w:r w:rsidRPr="00400520">
                  <w:t xml:space="preserve">While </w:t>
                </w:r>
                <w:proofErr w:type="spellStart"/>
                <w:r w:rsidRPr="00400520">
                  <w:t>Hedayat</w:t>
                </w:r>
                <w:proofErr w:type="spellEnd"/>
                <w:r w:rsidRPr="00400520">
                  <w:t xml:space="preserve"> wrote other works – </w:t>
                </w:r>
                <w:r w:rsidRPr="00400520">
                  <w:rPr>
                    <w:i/>
                    <w:iCs/>
                  </w:rPr>
                  <w:t>Three Drops of Blood</w:t>
                </w:r>
                <w:r w:rsidRPr="00400520">
                  <w:t>,</w:t>
                </w:r>
                <w:r w:rsidRPr="00400520">
                  <w:rPr>
                    <w:i/>
                    <w:iCs/>
                  </w:rPr>
                  <w:t xml:space="preserve"> Buried Alive</w:t>
                </w:r>
                <w:r w:rsidRPr="00400520">
                  <w:t xml:space="preserve">, and </w:t>
                </w:r>
                <w:r w:rsidRPr="00400520">
                  <w:rPr>
                    <w:i/>
                    <w:iCs/>
                  </w:rPr>
                  <w:t>Stray Dog</w:t>
                </w:r>
                <w:r w:rsidRPr="00400520">
                  <w:t xml:space="preserve"> among others – that could be grouped with </w:t>
                </w:r>
                <w:r w:rsidRPr="00400520">
                  <w:rPr>
                    <w:i/>
                    <w:iCs/>
                  </w:rPr>
                  <w:t xml:space="preserve">The Blind Owl </w:t>
                </w:r>
                <w:r w:rsidRPr="00400520">
                  <w:t xml:space="preserve">in their existential and psychological content, he also wrote less individual works, attacking the religious and sociocultural norms of Iranian conventional society. Among such works are </w:t>
                </w:r>
                <w:r w:rsidRPr="00400520">
                  <w:rPr>
                    <w:i/>
                    <w:iCs/>
                  </w:rPr>
                  <w:t xml:space="preserve">Mister </w:t>
                </w:r>
                <w:proofErr w:type="spellStart"/>
                <w:r w:rsidRPr="00400520">
                  <w:rPr>
                    <w:i/>
                    <w:iCs/>
                  </w:rPr>
                  <w:t>Hadji</w:t>
                </w:r>
                <w:proofErr w:type="spellEnd"/>
                <w:r w:rsidRPr="00400520">
                  <w:t xml:space="preserve">, </w:t>
                </w:r>
                <w:r w:rsidRPr="00400520">
                  <w:rPr>
                    <w:rFonts w:cs="Arial"/>
                    <w:i/>
                    <w:iCs/>
                    <w:shd w:val="clear" w:color="auto" w:fill="FFFFFF"/>
                  </w:rPr>
                  <w:t>Mister Bow-wow</w:t>
                </w:r>
                <w:r w:rsidRPr="00400520">
                  <w:rPr>
                    <w:rFonts w:cs="Arial"/>
                    <w:shd w:val="clear" w:color="auto" w:fill="FFFFFF"/>
                  </w:rPr>
                  <w:t xml:space="preserve">, for which he got banned, </w:t>
                </w:r>
                <w:r w:rsidRPr="00400520">
                  <w:rPr>
                    <w:i/>
                    <w:iCs/>
                    <w:bdr w:val="none" w:sz="0" w:space="0" w:color="auto" w:frame="1"/>
                  </w:rPr>
                  <w:t>The Myth of Creation</w:t>
                </w:r>
                <w:r w:rsidRPr="00400520">
                  <w:rPr>
                    <w:bdr w:val="none" w:sz="0" w:space="0" w:color="auto" w:frame="1"/>
                  </w:rPr>
                  <w:t xml:space="preserve">, </w:t>
                </w:r>
                <w:r w:rsidRPr="00400520">
                  <w:rPr>
                    <w:rFonts w:cs="Arial"/>
                    <w:i/>
                    <w:iCs/>
                    <w:shd w:val="clear" w:color="auto" w:fill="FFFFFF"/>
                  </w:rPr>
                  <w:t xml:space="preserve">An Islamic Mission in the West, </w:t>
                </w:r>
                <w:r w:rsidRPr="00400520">
                  <w:rPr>
                    <w:rFonts w:cs="Arial"/>
                    <w:shd w:val="clear" w:color="auto" w:fill="FFFFFF"/>
                  </w:rPr>
                  <w:t xml:space="preserve">and </w:t>
                </w:r>
                <w:r w:rsidRPr="00400520">
                  <w:rPr>
                    <w:rFonts w:cs="Arial"/>
                    <w:i/>
                    <w:iCs/>
                    <w:shd w:val="clear" w:color="auto" w:fill="FFFFFF"/>
                  </w:rPr>
                  <w:t xml:space="preserve">The </w:t>
                </w:r>
                <w:proofErr w:type="spellStart"/>
                <w:r w:rsidRPr="00400520">
                  <w:rPr>
                    <w:rFonts w:cs="Arial"/>
                    <w:i/>
                    <w:iCs/>
                    <w:shd w:val="clear" w:color="auto" w:fill="FFFFFF"/>
                  </w:rPr>
                  <w:t>Morvari</w:t>
                </w:r>
                <w:proofErr w:type="spellEnd"/>
                <w:r w:rsidRPr="00400520">
                  <w:rPr>
                    <w:rFonts w:cs="Arial"/>
                    <w:i/>
                    <w:iCs/>
                    <w:shd w:val="clear" w:color="auto" w:fill="FFFFFF"/>
                  </w:rPr>
                  <w:t xml:space="preserve"> Cannon, </w:t>
                </w:r>
                <w:r w:rsidRPr="00400520">
                  <w:rPr>
                    <w:rFonts w:cs="Arial"/>
                    <w:shd w:val="clear" w:color="auto" w:fill="FFFFFF"/>
                  </w:rPr>
                  <w:t>none of which were published during his life time, especially because of their harsh criticism of Iranian society and culture</w:t>
                </w:r>
                <w:r w:rsidRPr="00400520">
                  <w:rPr>
                    <w:rFonts w:cs="Arial"/>
                    <w:color w:val="252525"/>
                    <w:shd w:val="clear" w:color="auto" w:fill="FFFFFF"/>
                  </w:rPr>
                  <w:t xml:space="preserve">. </w:t>
                </w:r>
              </w:p>
              <w:p w14:paraId="6E264FB7" w14:textId="77777777" w:rsidR="0063478B" w:rsidRDefault="0063478B" w:rsidP="00DA4B1A">
                <w:pPr>
                  <w:rPr>
                    <w:rFonts w:ascii="Helvetica" w:eastAsia="Times New Roman" w:hAnsi="Helvetica" w:cs="Helvetica"/>
                    <w:color w:val="000000"/>
                    <w:sz w:val="21"/>
                    <w:szCs w:val="21"/>
                  </w:rPr>
                </w:pPr>
              </w:p>
              <w:p w14:paraId="4ECD0562" w14:textId="77777777" w:rsidR="0063478B" w:rsidRPr="00C34E15" w:rsidRDefault="0063478B" w:rsidP="00400520">
                <w:pPr>
                  <w:pStyle w:val="Heading1"/>
                  <w:outlineLvl w:val="0"/>
                  <w:rPr>
                    <w:rFonts w:eastAsia="Times New Roman"/>
                    <w:color w:val="383838"/>
                  </w:rPr>
                </w:pPr>
                <w:r w:rsidRPr="00C34E15">
                  <w:rPr>
                    <w:rFonts w:eastAsia="Times New Roman"/>
                    <w:bdr w:val="none" w:sz="0" w:space="0" w:color="auto" w:frame="1"/>
                  </w:rPr>
                  <w:t xml:space="preserve">Iranian </w:t>
                </w:r>
                <w:r>
                  <w:rPr>
                    <w:rFonts w:eastAsia="Times New Roman"/>
                    <w:bdr w:val="none" w:sz="0" w:space="0" w:color="auto" w:frame="1"/>
                  </w:rPr>
                  <w:t xml:space="preserve">Modernity and </w:t>
                </w:r>
                <w:r w:rsidRPr="00C34E15">
                  <w:rPr>
                    <w:rFonts w:eastAsia="Times New Roman"/>
                    <w:bdr w:val="none" w:sz="0" w:space="0" w:color="auto" w:frame="1"/>
                  </w:rPr>
                  <w:t>Modernism</w:t>
                </w:r>
                <w:r w:rsidRPr="00C34E15">
                  <w:rPr>
                    <w:rFonts w:eastAsia="Times New Roman"/>
                    <w:color w:val="383838"/>
                  </w:rPr>
                  <w:t xml:space="preserve"> </w:t>
                </w:r>
              </w:p>
              <w:p w14:paraId="2A545BA4" w14:textId="77777777" w:rsidR="0063478B" w:rsidRDefault="0063478B" w:rsidP="00DA4B1A">
                <w:proofErr w:type="spellStart"/>
                <w:r w:rsidRPr="00C928F7">
                  <w:rPr>
                    <w:bdr w:val="none" w:sz="0" w:space="0" w:color="auto" w:frame="1"/>
                  </w:rPr>
                  <w:t>Hedayat</w:t>
                </w:r>
                <w:proofErr w:type="spellEnd"/>
                <w:r>
                  <w:t xml:space="preserve"> had an important role in modernizing Iranian literature, and this was made possible partly by his profound understanding of Western Modernist art and culture. He was influenced by the likes of</w:t>
                </w:r>
                <w:r w:rsidRPr="00DC144E">
                  <w:t xml:space="preserve"> </w:t>
                </w:r>
                <w:r w:rsidRPr="000A6BA5">
                  <w:t>Maupassant</w:t>
                </w:r>
                <w:r>
                  <w:t xml:space="preserve">, Poe, Woolf, and Faulkner, and this is reflected in his pioneering work on Iranian short story and novella, forms that </w:t>
                </w:r>
                <w:r w:rsidRPr="00C34E15">
                  <w:t xml:space="preserve">were almost non-existent at a time when prose was just becoming a literary device. He did not shy away </w:t>
                </w:r>
                <w:r>
                  <w:t xml:space="preserve">from using Persian in novel ways that could be viewed as outrageous by those who were used to the centuries-old conventions of Iranian literature. According to </w:t>
                </w:r>
                <w:proofErr w:type="spellStart"/>
                <w:r>
                  <w:t>Farzaneh</w:t>
                </w:r>
                <w:proofErr w:type="spellEnd"/>
                <w:r>
                  <w:t xml:space="preserve"> (1988), he highly praised Joyce and his innovative techniques, stating that “l</w:t>
                </w:r>
                <w:r w:rsidRPr="00920A1A">
                  <w:t xml:space="preserve">iterature is divided </w:t>
                </w:r>
                <w:r>
                  <w:t>in</w:t>
                </w:r>
                <w:r w:rsidRPr="00920A1A">
                  <w:t>to before a</w:t>
                </w:r>
                <w:r>
                  <w:t>nd after Joyce</w:t>
                </w:r>
                <w:r w:rsidRPr="00920A1A">
                  <w:t xml:space="preserve">” </w:t>
                </w:r>
                <w:r>
                  <w:t xml:space="preserve">(p. 195). During his first time in Europe, </w:t>
                </w:r>
                <w:proofErr w:type="spellStart"/>
                <w:r>
                  <w:t>Hedayat</w:t>
                </w:r>
                <w:proofErr w:type="spellEnd"/>
                <w:r>
                  <w:t xml:space="preserve"> was exposed to and influenced by the Expressionist cinema of the 1920s’</w:t>
                </w:r>
                <w:r>
                  <w:rPr>
                    <w:rStyle w:val="EndnoteReference"/>
                    <w:rFonts w:ascii="Helvetica" w:eastAsia="Times New Roman" w:hAnsi="Helvetica" w:cs="Helvetica"/>
                    <w:sz w:val="21"/>
                    <w:szCs w:val="21"/>
                  </w:rPr>
                  <w:endnoteReference w:id="2"/>
                </w:r>
                <w:r>
                  <w:t xml:space="preserve">. In addition to introducing new forms and styles, </w:t>
                </w:r>
                <w:proofErr w:type="spellStart"/>
                <w:r>
                  <w:t>Hedayat</w:t>
                </w:r>
                <w:proofErr w:type="spellEnd"/>
                <w:r>
                  <w:t xml:space="preserve"> was among the first Iranian writers who made the earthly concerns of the modern man the subject matter of his works. He openly discussed the dark sides of human existence, and in a culture that encouraged spirituality and trust in the metaphysical good, he did not hide his </w:t>
                </w:r>
                <w:proofErr w:type="spellStart"/>
                <w:r>
                  <w:t>skepticism</w:t>
                </w:r>
                <w:proofErr w:type="spellEnd"/>
                <w:r>
                  <w:t xml:space="preserve"> and the absurdity he saw in human life. </w:t>
                </w:r>
                <w:r w:rsidRPr="00142C56">
                  <w:t xml:space="preserve">He introduced Kafka by translating a few of his works into Persian, and his introduction on “In the Penal Colony,” titled “Kafka’s Message” has turned into an independent and important </w:t>
                </w:r>
                <w:r>
                  <w:t>work</w:t>
                </w:r>
                <w:r w:rsidRPr="00142C56">
                  <w:t xml:space="preserve">, seen as </w:t>
                </w:r>
                <w:proofErr w:type="spellStart"/>
                <w:r w:rsidRPr="00142C56">
                  <w:t>Hedayat’s</w:t>
                </w:r>
                <w:proofErr w:type="spellEnd"/>
                <w:r w:rsidRPr="00142C56">
                  <w:t xml:space="preserve"> manifesto on nihilism. </w:t>
                </w:r>
              </w:p>
              <w:p w14:paraId="014C70A8" w14:textId="77777777" w:rsidR="0063478B" w:rsidRPr="000A6BA5" w:rsidRDefault="0063478B" w:rsidP="00DA4B1A">
                <w:pPr>
                  <w:rPr>
                    <w:color w:val="383838"/>
                  </w:rPr>
                </w:pPr>
              </w:p>
              <w:p w14:paraId="6C8A9AD8" w14:textId="77777777" w:rsidR="0063478B" w:rsidRPr="004E4842" w:rsidRDefault="0063478B" w:rsidP="00DA4B1A">
                <w:r w:rsidRPr="00293AC7">
                  <w:lastRenderedPageBreak/>
                  <w:t xml:space="preserve">Besides his contributions to the Iranian literary </w:t>
                </w:r>
                <w:r>
                  <w:t>M</w:t>
                </w:r>
                <w:r w:rsidRPr="00293AC7">
                  <w:t xml:space="preserve">odernism, </w:t>
                </w:r>
                <w:proofErr w:type="spellStart"/>
                <w:r w:rsidRPr="00293AC7">
                  <w:t>Hedayat</w:t>
                </w:r>
                <w:proofErr w:type="spellEnd"/>
                <w:r w:rsidRPr="00293AC7">
                  <w:t xml:space="preserve"> was also influential in forming the intellectual currents that were part of Iranian experience of modernity. </w:t>
                </w:r>
                <w:r>
                  <w:t>He was among the first to live the Bohemian life of gathering in modern cafés</w:t>
                </w:r>
                <w:r w:rsidRPr="00A4570A">
                  <w:t xml:space="preserve"> </w:t>
                </w:r>
                <w:r>
                  <w:t>with friends, drinking, smoking, and discussing the arts, culture, philosophy, and politics</w:t>
                </w:r>
                <w:r>
                  <w:rPr>
                    <w:rStyle w:val="EndnoteReference"/>
                    <w:rFonts w:ascii="Helvetica" w:eastAsia="Times New Roman" w:hAnsi="Helvetica" w:cs="Helvetica"/>
                    <w:color w:val="000000"/>
                    <w:sz w:val="21"/>
                    <w:szCs w:val="21"/>
                  </w:rPr>
                  <w:endnoteReference w:id="3"/>
                </w:r>
                <w:r>
                  <w:t xml:space="preserve">. Even his vegetarianism would be considered an idiosyncratic rarity at that time and place. However, </w:t>
                </w:r>
                <w:proofErr w:type="spellStart"/>
                <w:r>
                  <w:t>Hedayat’s</w:t>
                </w:r>
                <w:proofErr w:type="spellEnd"/>
                <w:r>
                  <w:t xml:space="preserve"> real influence was not only in having a dropout lifestyle. With his criticism of tradition and promotion of ‘</w:t>
                </w:r>
                <w:r w:rsidRPr="00F742E2">
                  <w:rPr>
                    <w:i/>
                    <w:iCs/>
                  </w:rPr>
                  <w:t>change</w:t>
                </w:r>
                <w:r>
                  <w:rPr>
                    <w:i/>
                    <w:iCs/>
                  </w:rPr>
                  <w:t>’</w:t>
                </w:r>
                <w:r>
                  <w:t xml:space="preserve">, </w:t>
                </w:r>
                <w:proofErr w:type="spellStart"/>
                <w:r>
                  <w:t>Hedayat</w:t>
                </w:r>
                <w:proofErr w:type="spellEnd"/>
                <w:r>
                  <w:t xml:space="preserve"> started new debates that are still relevant in Iranian society and culture. He was the centre of a literary circle, named </w:t>
                </w:r>
                <w:proofErr w:type="spellStart"/>
                <w:r>
                  <w:t>Rab’a</w:t>
                </w:r>
                <w:proofErr w:type="spellEnd"/>
                <w:r>
                  <w:t xml:space="preserve"> (a humorous distortion of the word “Four” in Arabic) in opposition to a group of classical literary scholars called </w:t>
                </w:r>
                <w:proofErr w:type="spellStart"/>
                <w:r>
                  <w:t>Sab’a</w:t>
                </w:r>
                <w:proofErr w:type="spellEnd"/>
                <w:r>
                  <w:t xml:space="preserve"> (“Seven” in Arabic). </w:t>
                </w:r>
                <w:proofErr w:type="spellStart"/>
                <w:r w:rsidRPr="007F2B3A">
                  <w:t>Katouzian</w:t>
                </w:r>
                <w:proofErr w:type="spellEnd"/>
                <w:r w:rsidRPr="007F2B3A">
                  <w:t xml:space="preserve"> (1991) notes that </w:t>
                </w:r>
                <w:proofErr w:type="spellStart"/>
                <w:r w:rsidRPr="007F2B3A">
                  <w:t>Hedayat</w:t>
                </w:r>
                <w:proofErr w:type="spellEnd"/>
                <w:r w:rsidRPr="007F2B3A">
                  <w:t xml:space="preserve"> and his circle "were all modern-minded and critical of the literary establishment</w:t>
                </w:r>
                <w:r>
                  <w:t>” which they saw as “</w:t>
                </w:r>
                <w:r w:rsidRPr="007F2B3A">
                  <w:t>grave digging</w:t>
                </w:r>
                <w:r>
                  <w:t>”</w:t>
                </w:r>
                <w:r w:rsidRPr="007F2B3A">
                  <w:t xml:space="preserve"> and </w:t>
                </w:r>
                <w:r>
                  <w:t xml:space="preserve">“the science of fossils,” and to show the extent of their contempt </w:t>
                </w:r>
                <w:r w:rsidRPr="007F2B3A">
                  <w:t xml:space="preserve">claims that </w:t>
                </w:r>
                <w:r>
                  <w:t>they</w:t>
                </w:r>
                <w:r w:rsidRPr="007F2B3A">
                  <w:t xml:space="preserve"> even had a list of classical literary figures, dead or alive, that </w:t>
                </w:r>
                <w:r>
                  <w:t>they</w:t>
                </w:r>
                <w:r w:rsidRPr="007F2B3A">
                  <w:t xml:space="preserve"> believed should be hanged, symbolically albeit</w:t>
                </w:r>
                <w:r w:rsidR="00431B7F">
                  <w:t xml:space="preserve"> (pp. 52–5</w:t>
                </w:r>
                <w:r>
                  <w:t xml:space="preserve">4). What is for sure is that </w:t>
                </w:r>
                <w:proofErr w:type="spellStart"/>
                <w:r>
                  <w:t>Hedayat</w:t>
                </w:r>
                <w:proofErr w:type="spellEnd"/>
                <w:r>
                  <w:t xml:space="preserve"> was part of Iran’s movement toward modernity. He was b</w:t>
                </w:r>
                <w:r w:rsidRPr="000A6BA5">
                  <w:t xml:space="preserve">orn into </w:t>
                </w:r>
                <w:r>
                  <w:t>Iranian Constitutional R</w:t>
                </w:r>
                <w:r w:rsidRPr="000A6BA5">
                  <w:t>evolution</w:t>
                </w:r>
                <w:r>
                  <w:t xml:space="preserve">, a fundamental movement toward breaking with tradition and adapting new ways within the socio-political sphere, and living through such changing times, he remained loyal to the idea of </w:t>
                </w:r>
                <w:r w:rsidRPr="00815314">
                  <w:rPr>
                    <w:i/>
                    <w:iCs/>
                  </w:rPr>
                  <w:t>change</w:t>
                </w:r>
                <w:r>
                  <w:t>.</w:t>
                </w:r>
              </w:p>
              <w:p w14:paraId="1C634B0E" w14:textId="77777777" w:rsidR="0063478B" w:rsidRDefault="0063478B" w:rsidP="00DA4B1A">
                <w:pPr>
                  <w:rPr>
                    <w:rFonts w:ascii="Helvetica" w:eastAsia="Times New Roman" w:hAnsi="Helvetica" w:cs="Helvetica"/>
                    <w:color w:val="383838"/>
                    <w:sz w:val="21"/>
                    <w:szCs w:val="21"/>
                  </w:rPr>
                </w:pPr>
              </w:p>
              <w:p w14:paraId="28431D65" w14:textId="77777777" w:rsidR="0063478B" w:rsidRPr="00F27411" w:rsidRDefault="0063478B" w:rsidP="00400520">
                <w:pPr>
                  <w:pStyle w:val="Heading1"/>
                  <w:outlineLvl w:val="0"/>
                  <w:rPr>
                    <w:rFonts w:eastAsia="Times New Roman"/>
                  </w:rPr>
                </w:pPr>
                <w:r w:rsidRPr="00F27411">
                  <w:rPr>
                    <w:rFonts w:eastAsia="Times New Roman"/>
                  </w:rPr>
                  <w:t>Disillusionment and Suicide</w:t>
                </w:r>
              </w:p>
              <w:p w14:paraId="31CB8635" w14:textId="77777777" w:rsidR="0063478B" w:rsidRPr="00121AC2" w:rsidRDefault="0063478B" w:rsidP="00431B7F">
                <w:r w:rsidRPr="00ED455E">
                  <w:t xml:space="preserve">His dedication to change, however, was not </w:t>
                </w:r>
                <w:r>
                  <w:t>embraced</w:t>
                </w:r>
                <w:r w:rsidRPr="00ED455E">
                  <w:t xml:space="preserve"> by most of Iranians, both </w:t>
                </w:r>
                <w:r>
                  <w:t>within</w:t>
                </w:r>
                <w:r w:rsidRPr="00ED455E">
                  <w:t xml:space="preserve"> the political and artistic elite and </w:t>
                </w:r>
                <w:r>
                  <w:t xml:space="preserve">the </w:t>
                </w:r>
                <w:r w:rsidRPr="00ED455E">
                  <w:t xml:space="preserve">ordinary </w:t>
                </w:r>
                <w:r>
                  <w:t>people</w:t>
                </w:r>
                <w:r>
                  <w:rPr>
                    <w:rStyle w:val="EndnoteReference"/>
                    <w:rFonts w:ascii="Helvetica" w:eastAsia="Times New Roman" w:hAnsi="Helvetica" w:cs="Helvetica"/>
                    <w:sz w:val="21"/>
                    <w:szCs w:val="21"/>
                  </w:rPr>
                  <w:endnoteReference w:id="4"/>
                </w:r>
                <w:r w:rsidRPr="00ED455E">
                  <w:t xml:space="preserve">. </w:t>
                </w:r>
                <w:r>
                  <w:t>His relentless criticism of Iranian society and culture was not welcomed by the authorities.</w:t>
                </w:r>
                <w:r w:rsidRPr="00ED455E">
                  <w:t xml:space="preserve"> His </w:t>
                </w:r>
                <w:r>
                  <w:t>literary style, combining the deeply-rooted elements of Persian language and culture with experimental Modernist techniques, was sometimes seen as a sign of his illiteracy in using the language properly</w:t>
                </w:r>
                <w:r>
                  <w:rPr>
                    <w:rStyle w:val="EndnoteReference"/>
                    <w:rFonts w:ascii="Helvetica" w:eastAsia="Times New Roman" w:hAnsi="Helvetica" w:cs="Helvetica"/>
                    <w:sz w:val="21"/>
                    <w:szCs w:val="21"/>
                  </w:rPr>
                  <w:endnoteReference w:id="5"/>
                </w:r>
                <w:r>
                  <w:t xml:space="preserve">, and his openness in talking about the absurdity of human life was seen as dangerous pessimism. Parents were, and some still are, worried if their children read his works, as the </w:t>
                </w:r>
                <w:r w:rsidR="00400520">
                  <w:t>rumour</w:t>
                </w:r>
                <w:r>
                  <w:t xml:space="preserve"> has been that </w:t>
                </w:r>
                <w:r w:rsidRPr="00ED455E">
                  <w:rPr>
                    <w:i/>
                    <w:iCs/>
                  </w:rPr>
                  <w:t>The Blind Owl</w:t>
                </w:r>
                <w:r>
                  <w:rPr>
                    <w:i/>
                    <w:iCs/>
                  </w:rPr>
                  <w:t xml:space="preserve"> </w:t>
                </w:r>
                <w:r w:rsidRPr="00C51D26">
                  <w:t>might trigger suicides among its readers</w:t>
                </w:r>
                <w:r>
                  <w:t>.</w:t>
                </w:r>
                <w:r>
                  <w:rPr>
                    <w:rStyle w:val="EndnoteReference"/>
                    <w:rFonts w:ascii="Helvetica" w:eastAsia="Times New Roman" w:hAnsi="Helvetica" w:cs="Helvetica"/>
                    <w:sz w:val="21"/>
                    <w:szCs w:val="21"/>
                  </w:rPr>
                  <w:endnoteReference w:id="6"/>
                </w:r>
                <w:r>
                  <w:t xml:space="preserve"> This is while many have not even read </w:t>
                </w:r>
                <w:proofErr w:type="spellStart"/>
                <w:r>
                  <w:t>Hedayat</w:t>
                </w:r>
                <w:proofErr w:type="spellEnd"/>
                <w:r>
                  <w:t>, but his seemingly bizarre content, form, and lifestyle gained him a reputation that he despised.</w:t>
                </w:r>
                <w:r>
                  <w:rPr>
                    <w:rStyle w:val="EndnoteReference"/>
                    <w:rFonts w:ascii="Helvetica" w:eastAsia="Times New Roman" w:hAnsi="Helvetica" w:cs="Helvetica"/>
                    <w:sz w:val="21"/>
                    <w:szCs w:val="21"/>
                  </w:rPr>
                  <w:endnoteReference w:id="7"/>
                </w:r>
                <w:r>
                  <w:t xml:space="preserve"> As evident in his letters and conversations with friends, all of this greatly disappointed </w:t>
                </w:r>
                <w:proofErr w:type="spellStart"/>
                <w:r>
                  <w:t>Hedayat</w:t>
                </w:r>
                <w:proofErr w:type="spellEnd"/>
                <w:r>
                  <w:t>, and despite his attempts to keep working, he increasingly saw himself as unfit for his environment</w:t>
                </w:r>
                <w:r w:rsidRPr="000A6BA5">
                  <w:rPr>
                    <w:color w:val="383838"/>
                  </w:rPr>
                  <w:t>.</w:t>
                </w:r>
                <w:r>
                  <w:rPr>
                    <w:color w:val="383838"/>
                  </w:rPr>
                  <w:t xml:space="preserve"> </w:t>
                </w:r>
              </w:p>
              <w:p w14:paraId="67E862E9" w14:textId="77777777" w:rsidR="00DA4B1A" w:rsidRDefault="0063478B" w:rsidP="00431B7F">
                <w:r w:rsidRPr="000A6BA5">
                  <w:rPr>
                    <w:color w:val="000000"/>
                  </w:rPr>
                  <w:br/>
                </w:r>
                <w:r>
                  <w:t>D</w:t>
                </w:r>
                <w:r w:rsidRPr="003A6C50">
                  <w:t xml:space="preserve">eeper understandings of </w:t>
                </w:r>
                <w:proofErr w:type="spellStart"/>
                <w:r w:rsidRPr="003A6C50">
                  <w:t>Hedayat</w:t>
                </w:r>
                <w:proofErr w:type="spellEnd"/>
                <w:r w:rsidRPr="003A6C50">
                  <w:t xml:space="preserve"> and his work started forming after his suicide in 1951 in Paris. Thousands of books and articles have been written on </w:t>
                </w:r>
                <w:proofErr w:type="spellStart"/>
                <w:r w:rsidRPr="003A6C50">
                  <w:t>Hedayat</w:t>
                </w:r>
                <w:proofErr w:type="spellEnd"/>
                <w:r w:rsidRPr="003A6C50">
                  <w:t xml:space="preserve"> and his oeuvre, and he is constantly discussed in documentaries, fictional movies, TV programs, and even through quotes, memes, </w:t>
                </w:r>
                <w:r>
                  <w:t>and references</w:t>
                </w:r>
                <w:r w:rsidRPr="003A6C50">
                  <w:t xml:space="preserve"> in pop culture. The she</w:t>
                </w:r>
                <w:r>
                  <w:t xml:space="preserve">er volume of works on </w:t>
                </w:r>
                <w:proofErr w:type="spellStart"/>
                <w:r>
                  <w:t>Hedayat</w:t>
                </w:r>
                <w:proofErr w:type="spellEnd"/>
                <w:r>
                  <w:t xml:space="preserve"> </w:t>
                </w:r>
                <w:r w:rsidRPr="003A6C50">
                  <w:t xml:space="preserve">after his </w:t>
                </w:r>
                <w:r>
                  <w:t xml:space="preserve">death shows his significance </w:t>
                </w:r>
                <w:r w:rsidRPr="003A6C50">
                  <w:t xml:space="preserve">in Iranian </w:t>
                </w:r>
                <w:r>
                  <w:t>M</w:t>
                </w:r>
                <w:r w:rsidRPr="003A6C50">
                  <w:t>odernism and modernity.</w:t>
                </w:r>
                <w:bookmarkEnd w:id="1"/>
                <w:bookmarkEnd w:id="0"/>
              </w:p>
              <w:p w14:paraId="592785AB" w14:textId="77777777" w:rsidR="00DA4B1A" w:rsidRDefault="00DA4B1A" w:rsidP="00DA4B1A">
                <w:pPr>
                  <w:rPr>
                    <w:rFonts w:ascii="Helvetica" w:eastAsia="Times New Roman" w:hAnsi="Helvetica" w:cs="Helvetica"/>
                    <w:sz w:val="21"/>
                    <w:szCs w:val="21"/>
                  </w:rPr>
                </w:pPr>
              </w:p>
              <w:p w14:paraId="5C3FE914" w14:textId="77777777" w:rsidR="00FD3125" w:rsidRDefault="00DA4B1A" w:rsidP="00FD3125">
                <w:pPr>
                  <w:keepNext/>
                </w:pPr>
                <w:r w:rsidRPr="00DA4B1A">
                  <w:t>File: deer_drawing.JPG</w:t>
                </w:r>
              </w:p>
              <w:p w14:paraId="1ADD9D0D" w14:textId="77777777" w:rsidR="00FD3125" w:rsidRDefault="00FD3125" w:rsidP="00FD3125">
                <w:pPr>
                  <w:pStyle w:val="Caption"/>
                  <w:rPr>
                    <w:lang w:val="en-CA"/>
                  </w:rPr>
                </w:pPr>
                <w:r>
                  <w:t xml:space="preserve">Figure </w:t>
                </w:r>
                <w:fldSimple w:instr=" SEQ Figure \* ARABIC ">
                  <w:r>
                    <w:rPr>
                      <w:noProof/>
                    </w:rPr>
                    <w:t>2</w:t>
                  </w:r>
                </w:fldSimple>
                <w:r>
                  <w:rPr>
                    <w:lang w:val="en-CA"/>
                  </w:rPr>
                  <w:t xml:space="preserve"> </w:t>
                </w:r>
                <w:proofErr w:type="spellStart"/>
                <w:r>
                  <w:rPr>
                    <w:lang w:val="en-CA"/>
                  </w:rPr>
                  <w:t>Hedayat</w:t>
                </w:r>
                <w:proofErr w:type="spellEnd"/>
                <w:r>
                  <w:rPr>
                    <w:lang w:val="en-CA"/>
                  </w:rPr>
                  <w:t xml:space="preserve"> drew this on a postcard to his brother when he was in Paris in 1928</w:t>
                </w:r>
              </w:p>
              <w:p w14:paraId="42DECE12" w14:textId="77777777" w:rsidR="00431B7F" w:rsidRPr="00431B7F" w:rsidRDefault="00431B7F" w:rsidP="00431B7F">
                <w:pPr>
                  <w:pStyle w:val="Authornote"/>
                </w:pPr>
                <w:r>
                  <w:t>[[</w:t>
                </w:r>
                <w:proofErr w:type="gramStart"/>
                <w:r>
                  <w:t>source</w:t>
                </w:r>
                <w:proofErr w:type="gramEnd"/>
                <w:r>
                  <w:t xml:space="preserve">: </w:t>
                </w:r>
                <w:r w:rsidRPr="00431B7F">
                  <w:t>https://upload.wikimedia.org/wikipedia/fa/thumb/9/99/Ahooye_Tanha.jpg/440px-Ahooye_Tanha.jpg</w:t>
                </w:r>
                <w:r>
                  <w:t>]]</w:t>
                </w:r>
              </w:p>
              <w:p w14:paraId="789453EA" w14:textId="77777777" w:rsidR="003F0D73" w:rsidRPr="0063478B" w:rsidRDefault="003F0D73" w:rsidP="00DA4B1A">
                <w:pPr>
                  <w:rPr>
                    <w:rFonts w:ascii="Helvetica" w:eastAsia="Times New Roman" w:hAnsi="Helvetica" w:cs="Helvetica"/>
                    <w:sz w:val="21"/>
                    <w:szCs w:val="21"/>
                  </w:rPr>
                </w:pPr>
              </w:p>
            </w:tc>
          </w:sdtContent>
        </w:sdt>
      </w:tr>
      <w:tr w:rsidR="003235A7" w14:paraId="48B4926F" w14:textId="77777777" w:rsidTr="003235A7">
        <w:tc>
          <w:tcPr>
            <w:tcW w:w="9016" w:type="dxa"/>
          </w:tcPr>
          <w:p w14:paraId="3740933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850A718F77E439A95433FDC6FE45CC8"/>
              </w:placeholder>
            </w:sdtPr>
            <w:sdtEndPr/>
            <w:sdtContent>
              <w:p w14:paraId="435C584E" w14:textId="77777777" w:rsidR="003235A7" w:rsidRDefault="00431B7F" w:rsidP="007967B5">
                <w:sdt>
                  <w:sdtPr>
                    <w:id w:val="1067922119"/>
                    <w:citation/>
                  </w:sdtPr>
                  <w:sdtEndPr/>
                  <w:sdtContent>
                    <w:r w:rsidR="007967B5">
                      <w:fldChar w:fldCharType="begin"/>
                    </w:r>
                    <w:r w:rsidR="007967B5">
                      <w:rPr>
                        <w:lang w:val="en-US"/>
                      </w:rPr>
                      <w:instrText xml:space="preserve"> CITATION Kat99 \l 1033 </w:instrText>
                    </w:r>
                    <w:r w:rsidR="007967B5">
                      <w:fldChar w:fldCharType="separate"/>
                    </w:r>
                    <w:r>
                      <w:rPr>
                        <w:noProof/>
                        <w:lang w:val="en-US"/>
                      </w:rPr>
                      <w:t xml:space="preserve"> (Katouzian)</w:t>
                    </w:r>
                    <w:r w:rsidR="007967B5">
                      <w:fldChar w:fldCharType="end"/>
                    </w:r>
                  </w:sdtContent>
                </w:sdt>
                <w:r w:rsidR="007967B5">
                  <w:t xml:space="preserve"> </w:t>
                </w:r>
                <w:sdt>
                  <w:sdtPr>
                    <w:id w:val="590277320"/>
                    <w:citation/>
                  </w:sdtPr>
                  <w:sdtEndPr/>
                  <w:sdtContent>
                    <w:r w:rsidR="007967B5">
                      <w:fldChar w:fldCharType="begin"/>
                    </w:r>
                    <w:r>
                      <w:rPr>
                        <w:lang w:val="en-US"/>
                      </w:rPr>
                      <w:instrText xml:space="preserve">CITATION Bea90 \l 1033 </w:instrText>
                    </w:r>
                    <w:r w:rsidR="007967B5">
                      <w:fldChar w:fldCharType="separate"/>
                    </w:r>
                    <w:r>
                      <w:rPr>
                        <w:noProof/>
                        <w:lang w:val="en-US"/>
                      </w:rPr>
                      <w:t>(Beard)</w:t>
                    </w:r>
                    <w:r w:rsidR="007967B5">
                      <w:fldChar w:fldCharType="end"/>
                    </w:r>
                  </w:sdtContent>
                </w:sdt>
                <w:r w:rsidR="007967B5">
                  <w:t xml:space="preserve"> </w:t>
                </w:r>
                <w:sdt>
                  <w:sdtPr>
                    <w:id w:val="1117635391"/>
                    <w:citation/>
                  </w:sdtPr>
                  <w:sdtEndPr/>
                  <w:sdtContent>
                    <w:r w:rsidR="007967B5">
                      <w:fldChar w:fldCharType="begin"/>
                    </w:r>
                    <w:r w:rsidR="007967B5">
                      <w:rPr>
                        <w:lang w:val="en-US"/>
                      </w:rPr>
                      <w:instrText xml:space="preserve"> CITATION Far88 \l 1033 </w:instrText>
                    </w:r>
                    <w:r w:rsidR="007967B5">
                      <w:fldChar w:fldCharType="separate"/>
                    </w:r>
                    <w:r>
                      <w:rPr>
                        <w:noProof/>
                        <w:lang w:val="en-US"/>
                      </w:rPr>
                      <w:t>(Farzaneh, Ashnaee ba Sadegh Hedayat (Vol. 2))</w:t>
                    </w:r>
                    <w:r w:rsidR="007967B5">
                      <w:fldChar w:fldCharType="end"/>
                    </w:r>
                  </w:sdtContent>
                </w:sdt>
                <w:r w:rsidR="007967B5">
                  <w:t xml:space="preserve"> </w:t>
                </w:r>
                <w:sdt>
                  <w:sdtPr>
                    <w:id w:val="-1817243470"/>
                    <w:citation/>
                  </w:sdtPr>
                  <w:sdtEndPr/>
                  <w:sdtContent>
                    <w:r w:rsidR="007967B5">
                      <w:fldChar w:fldCharType="begin"/>
                    </w:r>
                    <w:r w:rsidR="007967B5">
                      <w:rPr>
                        <w:lang w:val="en-US"/>
                      </w:rPr>
                      <w:instrText xml:space="preserve"> CITATION Far881 \l 1033 </w:instrText>
                    </w:r>
                    <w:r w:rsidR="007967B5">
                      <w:fldChar w:fldCharType="separate"/>
                    </w:r>
                    <w:r>
                      <w:rPr>
                        <w:noProof/>
                        <w:lang w:val="en-US"/>
                      </w:rPr>
                      <w:t>(Farzaneh, Ashnaee ba Sadegh Hedayat (Vol. 1))</w:t>
                    </w:r>
                    <w:r w:rsidR="007967B5">
                      <w:fldChar w:fldCharType="end"/>
                    </w:r>
                  </w:sdtContent>
                </w:sdt>
                <w:r w:rsidR="00876FBD">
                  <w:t xml:space="preserve"> </w:t>
                </w:r>
                <w:sdt>
                  <w:sdtPr>
                    <w:id w:val="1455448736"/>
                    <w:citation/>
                  </w:sdtPr>
                  <w:sdtEndPr/>
                  <w:sdtContent>
                    <w:r w:rsidR="00876FBD">
                      <w:fldChar w:fldCharType="begin"/>
                    </w:r>
                    <w:r w:rsidR="00876FBD">
                      <w:instrText xml:space="preserve"> CITATION San03 \l 1033 </w:instrText>
                    </w:r>
                    <w:r w:rsidR="00876FBD">
                      <w:fldChar w:fldCharType="separate"/>
                    </w:r>
                    <w:r w:rsidRPr="00431B7F">
                      <w:rPr>
                        <w:noProof/>
                      </w:rPr>
                      <w:t>(Sanati)</w:t>
                    </w:r>
                    <w:r w:rsidR="00876FBD">
                      <w:fldChar w:fldCharType="end"/>
                    </w:r>
                  </w:sdtContent>
                </w:sdt>
                <w:r w:rsidR="00876FBD">
                  <w:t xml:space="preserve"> </w:t>
                </w:r>
                <w:sdt>
                  <w:sdtPr>
                    <w:id w:val="-397587174"/>
                    <w:citation/>
                  </w:sdtPr>
                  <w:sdtEndPr/>
                  <w:sdtContent>
                    <w:r w:rsidR="00876FBD">
                      <w:fldChar w:fldCharType="begin"/>
                    </w:r>
                    <w:r>
                      <w:rPr>
                        <w:lang w:val="en-US"/>
                      </w:rPr>
                      <w:instrText xml:space="preserve">CITATION Fis04 \l 1033 </w:instrText>
                    </w:r>
                    <w:r w:rsidR="00876FBD">
                      <w:fldChar w:fldCharType="separate"/>
                    </w:r>
                    <w:r>
                      <w:rPr>
                        <w:noProof/>
                        <w:lang w:val="en-US"/>
                      </w:rPr>
                      <w:t>(Fischer)</w:t>
                    </w:r>
                    <w:r w:rsidR="00876FBD">
                      <w:fldChar w:fldCharType="end"/>
                    </w:r>
                  </w:sdtContent>
                </w:sdt>
              </w:p>
            </w:sdtContent>
          </w:sdt>
        </w:tc>
      </w:tr>
    </w:tbl>
    <w:p w14:paraId="52628DF4" w14:textId="77777777" w:rsidR="0063478B" w:rsidRPr="00F36937" w:rsidRDefault="0063478B"/>
    <w:sectPr w:rsidR="0063478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303028" w14:textId="77777777" w:rsidR="003D18AC" w:rsidRDefault="003D18AC" w:rsidP="007A0D55">
      <w:pPr>
        <w:spacing w:after="0" w:line="240" w:lineRule="auto"/>
      </w:pPr>
      <w:r>
        <w:separator/>
      </w:r>
    </w:p>
  </w:endnote>
  <w:endnote w:type="continuationSeparator" w:id="0">
    <w:p w14:paraId="50CA7BDB" w14:textId="77777777" w:rsidR="003D18AC" w:rsidRDefault="003D18AC" w:rsidP="007A0D55">
      <w:pPr>
        <w:spacing w:after="0" w:line="240" w:lineRule="auto"/>
      </w:pPr>
      <w:r>
        <w:continuationSeparator/>
      </w:r>
    </w:p>
  </w:endnote>
  <w:endnote w:id="1">
    <w:p w14:paraId="0C7DA0A8" w14:textId="77777777" w:rsidR="0063478B" w:rsidRDefault="0063478B" w:rsidP="0063478B">
      <w:pPr>
        <w:pStyle w:val="EndnoteText"/>
      </w:pPr>
      <w:r>
        <w:rPr>
          <w:rStyle w:val="EndnoteReference"/>
        </w:rPr>
        <w:endnoteRef/>
      </w:r>
      <w:r>
        <w:t xml:space="preserve"> Breton’s quote can be found in </w:t>
      </w:r>
      <w:r w:rsidRPr="00020F81">
        <w:t>Beard</w:t>
      </w:r>
      <w:r>
        <w:t xml:space="preserve"> (1990, p. 79), and </w:t>
      </w:r>
      <w:proofErr w:type="spellStart"/>
      <w:r>
        <w:t>Soupault</w:t>
      </w:r>
      <w:proofErr w:type="spellEnd"/>
      <w:r>
        <w:t xml:space="preserve"> and Miller’s are documented in </w:t>
      </w:r>
      <w:proofErr w:type="spellStart"/>
      <w:r>
        <w:t>Farzaneh</w:t>
      </w:r>
      <w:proofErr w:type="spellEnd"/>
      <w:r>
        <w:t xml:space="preserve"> (1988, p. 195). Both books are listed in </w:t>
      </w:r>
      <w:r w:rsidR="00431B7F">
        <w:t>‘</w:t>
      </w:r>
      <w:r>
        <w:t>Further Readings</w:t>
      </w:r>
      <w:bookmarkStart w:id="2" w:name="_GoBack"/>
      <w:r w:rsidR="00431B7F">
        <w:t>’.</w:t>
      </w:r>
      <w:bookmarkEnd w:id="2"/>
    </w:p>
  </w:endnote>
  <w:endnote w:id="2">
    <w:p w14:paraId="4A8906E0" w14:textId="77777777" w:rsidR="0063478B" w:rsidRDefault="0063478B" w:rsidP="0063478B">
      <w:pPr>
        <w:pStyle w:val="EndnoteText"/>
      </w:pPr>
      <w:r>
        <w:rPr>
          <w:rStyle w:val="EndnoteReference"/>
        </w:rPr>
        <w:endnoteRef/>
      </w:r>
      <w:r>
        <w:t xml:space="preserve"> For a detailed discussion on this and the names of some of these mov</w:t>
      </w:r>
      <w:r w:rsidR="00431B7F">
        <w:t xml:space="preserve">ies, refer to </w:t>
      </w:r>
      <w:proofErr w:type="spellStart"/>
      <w:r w:rsidR="00431B7F">
        <w:t>Farzaneh</w:t>
      </w:r>
      <w:proofErr w:type="spellEnd"/>
      <w:r w:rsidR="00431B7F">
        <w:t xml:space="preserve"> (pp. 105–1</w:t>
      </w:r>
      <w:r>
        <w:t>11).</w:t>
      </w:r>
    </w:p>
  </w:endnote>
  <w:endnote w:id="3">
    <w:p w14:paraId="05D9A1E9" w14:textId="77777777" w:rsidR="0063478B" w:rsidRDefault="0063478B" w:rsidP="0063478B">
      <w:pPr>
        <w:pStyle w:val="EndnoteText"/>
      </w:pPr>
      <w:r>
        <w:rPr>
          <w:rStyle w:val="EndnoteReference"/>
        </w:rPr>
        <w:endnoteRef/>
      </w:r>
      <w:r>
        <w:t xml:space="preserve"> In a documentary titled</w:t>
      </w:r>
      <w:r w:rsidRPr="00BC61BB">
        <w:t xml:space="preserve"> </w:t>
      </w:r>
      <w:proofErr w:type="gramStart"/>
      <w:r w:rsidRPr="00BC61BB">
        <w:rPr>
          <w:i/>
          <w:iCs/>
        </w:rPr>
        <w:t>From</w:t>
      </w:r>
      <w:proofErr w:type="gramEnd"/>
      <w:r w:rsidRPr="00BC61BB">
        <w:rPr>
          <w:i/>
          <w:iCs/>
        </w:rPr>
        <w:t xml:space="preserve"> No. 37</w:t>
      </w:r>
      <w:r>
        <w:t xml:space="preserve">, Iranian </w:t>
      </w:r>
      <w:proofErr w:type="spellStart"/>
      <w:r>
        <w:t>pholospher</w:t>
      </w:r>
      <w:proofErr w:type="spellEnd"/>
      <w:r>
        <w:t xml:space="preserve">, </w:t>
      </w:r>
      <w:proofErr w:type="spellStart"/>
      <w:r>
        <w:t>Ramin</w:t>
      </w:r>
      <w:proofErr w:type="spellEnd"/>
      <w:r>
        <w:t xml:space="preserve"> </w:t>
      </w:r>
      <w:proofErr w:type="spellStart"/>
      <w:r>
        <w:t>Jahanbagloo</w:t>
      </w:r>
      <w:proofErr w:type="spellEnd"/>
      <w:r>
        <w:t xml:space="preserve">, refers to </w:t>
      </w:r>
      <w:proofErr w:type="spellStart"/>
      <w:r>
        <w:t>Hedayat</w:t>
      </w:r>
      <w:proofErr w:type="spellEnd"/>
      <w:r>
        <w:t xml:space="preserve"> as the </w:t>
      </w:r>
      <w:r w:rsidR="00431B7F">
        <w:t>‘</w:t>
      </w:r>
      <w:r>
        <w:t xml:space="preserve">Modern </w:t>
      </w:r>
      <w:proofErr w:type="spellStart"/>
      <w:r w:rsidRPr="00BC61BB">
        <w:t>Flâneur</w:t>
      </w:r>
      <w:proofErr w:type="spellEnd"/>
      <w:r w:rsidR="00431B7F">
        <w:t>’,</w:t>
      </w:r>
      <w:r>
        <w:t xml:space="preserve"> drawing on the concept that Walter </w:t>
      </w:r>
      <w:proofErr w:type="spellStart"/>
      <w:r>
        <w:t>Banjamin</w:t>
      </w:r>
      <w:proofErr w:type="spellEnd"/>
      <w:r>
        <w:t xml:space="preserve"> developed out of Charles Baudelair</w:t>
      </w:r>
      <w:r w:rsidR="00431B7F">
        <w:t>e</w:t>
      </w:r>
      <w:r>
        <w:t xml:space="preserve">’s poetry, one of </w:t>
      </w:r>
      <w:proofErr w:type="spellStart"/>
      <w:r>
        <w:t>Hedayat’s</w:t>
      </w:r>
      <w:proofErr w:type="spellEnd"/>
      <w:r>
        <w:t xml:space="preserve"> </w:t>
      </w:r>
      <w:proofErr w:type="spellStart"/>
      <w:r>
        <w:t>favourites</w:t>
      </w:r>
      <w:proofErr w:type="spellEnd"/>
      <w:r>
        <w:t xml:space="preserve">.  </w:t>
      </w:r>
    </w:p>
  </w:endnote>
  <w:endnote w:id="4">
    <w:p w14:paraId="092515A7" w14:textId="77777777" w:rsidR="0063478B" w:rsidRDefault="0063478B" w:rsidP="0063478B">
      <w:pPr>
        <w:pStyle w:val="EndnoteText"/>
      </w:pPr>
      <w:r>
        <w:rPr>
          <w:rStyle w:val="EndnoteReference"/>
        </w:rPr>
        <w:endnoteRef/>
      </w:r>
      <w:r>
        <w:t xml:space="preserve"> See </w:t>
      </w:r>
      <w:proofErr w:type="spellStart"/>
      <w:r>
        <w:t>Farzaneh</w:t>
      </w:r>
      <w:proofErr w:type="spellEnd"/>
      <w:r w:rsidR="00876FBD">
        <w:t xml:space="preserve"> (1988)</w:t>
      </w:r>
      <w:r>
        <w:t xml:space="preserve">. </w:t>
      </w:r>
    </w:p>
  </w:endnote>
  <w:endnote w:id="5">
    <w:p w14:paraId="6EBC6F5F" w14:textId="77777777" w:rsidR="0063478B" w:rsidRDefault="0063478B" w:rsidP="0063478B">
      <w:pPr>
        <w:pStyle w:val="EndnoteText"/>
      </w:pPr>
      <w:r>
        <w:rPr>
          <w:rStyle w:val="EndnoteReference"/>
        </w:rPr>
        <w:endnoteRef/>
      </w:r>
      <w:r>
        <w:t xml:space="preserve"> Ibid. </w:t>
      </w:r>
    </w:p>
  </w:endnote>
  <w:endnote w:id="6">
    <w:p w14:paraId="4E098932" w14:textId="77777777" w:rsidR="0063478B" w:rsidRDefault="0063478B" w:rsidP="00876FBD">
      <w:pPr>
        <w:pStyle w:val="EndnoteText"/>
      </w:pPr>
      <w:r>
        <w:rPr>
          <w:rStyle w:val="EndnoteReference"/>
        </w:rPr>
        <w:endnoteRef/>
      </w:r>
      <w:r>
        <w:t xml:space="preserve">. For more on the misinterpretations of </w:t>
      </w:r>
      <w:proofErr w:type="spellStart"/>
      <w:r>
        <w:t>Hedayat</w:t>
      </w:r>
      <w:proofErr w:type="spellEnd"/>
      <w:r>
        <w:t xml:space="preserve">, see </w:t>
      </w:r>
      <w:r w:rsidRPr="00F27411">
        <w:t>Fischer</w:t>
      </w:r>
      <w:r>
        <w:t xml:space="preserve"> (</w:t>
      </w:r>
      <w:r w:rsidR="00876FBD">
        <w:t xml:space="preserve">2004, </w:t>
      </w:r>
      <w:r>
        <w:t xml:space="preserve">p. 181) and </w:t>
      </w:r>
      <w:proofErr w:type="spellStart"/>
      <w:r>
        <w:t>Sanati</w:t>
      </w:r>
      <w:proofErr w:type="spellEnd"/>
      <w:r w:rsidR="00876FBD">
        <w:t xml:space="preserve"> (2003)</w:t>
      </w:r>
      <w:r>
        <w:t>.</w:t>
      </w:r>
    </w:p>
  </w:endnote>
  <w:endnote w:id="7">
    <w:p w14:paraId="5EE11C67" w14:textId="77777777" w:rsidR="0063478B" w:rsidRDefault="0063478B" w:rsidP="0063478B">
      <w:pPr>
        <w:pStyle w:val="EndnoteText"/>
      </w:pPr>
      <w:r>
        <w:rPr>
          <w:rStyle w:val="EndnoteReference"/>
        </w:rPr>
        <w:endnoteRef/>
      </w:r>
      <w:r>
        <w:t xml:space="preserve"> See </w:t>
      </w:r>
      <w:proofErr w:type="spellStart"/>
      <w:r>
        <w:t>Farzaneh</w:t>
      </w:r>
      <w:proofErr w:type="spellEnd"/>
      <w:r>
        <w:t xml:space="preserve"> (Vol. 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CBD7B" w14:textId="77777777" w:rsidR="003D18AC" w:rsidRDefault="003D18AC" w:rsidP="007A0D55">
      <w:pPr>
        <w:spacing w:after="0" w:line="240" w:lineRule="auto"/>
      </w:pPr>
      <w:r>
        <w:separator/>
      </w:r>
    </w:p>
  </w:footnote>
  <w:footnote w:type="continuationSeparator" w:id="0">
    <w:p w14:paraId="4E893F82" w14:textId="77777777" w:rsidR="003D18AC" w:rsidRDefault="003D18A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FB4E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AFCF0D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7B66E3"/>
    <w:multiLevelType w:val="hybridMultilevel"/>
    <w:tmpl w:val="BCE8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F46EEE"/>
    <w:multiLevelType w:val="hybridMultilevel"/>
    <w:tmpl w:val="EDFA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0C6"/>
    <w:rsid w:val="00032559"/>
    <w:rsid w:val="00052040"/>
    <w:rsid w:val="000848F8"/>
    <w:rsid w:val="00097D90"/>
    <w:rsid w:val="000B25AE"/>
    <w:rsid w:val="000B55AB"/>
    <w:rsid w:val="000D24DC"/>
    <w:rsid w:val="00101B2E"/>
    <w:rsid w:val="00116FA0"/>
    <w:rsid w:val="0015114C"/>
    <w:rsid w:val="001A21F3"/>
    <w:rsid w:val="001A2537"/>
    <w:rsid w:val="001A6A06"/>
    <w:rsid w:val="001D325B"/>
    <w:rsid w:val="00210C03"/>
    <w:rsid w:val="002162E2"/>
    <w:rsid w:val="00225C5A"/>
    <w:rsid w:val="00230B10"/>
    <w:rsid w:val="00234353"/>
    <w:rsid w:val="00244BB0"/>
    <w:rsid w:val="002A0A0D"/>
    <w:rsid w:val="002B0B37"/>
    <w:rsid w:val="0030662D"/>
    <w:rsid w:val="003235A7"/>
    <w:rsid w:val="003677B6"/>
    <w:rsid w:val="003D18AC"/>
    <w:rsid w:val="003D3579"/>
    <w:rsid w:val="003E2795"/>
    <w:rsid w:val="003F0D73"/>
    <w:rsid w:val="00400520"/>
    <w:rsid w:val="00431B7F"/>
    <w:rsid w:val="00462DBE"/>
    <w:rsid w:val="00464699"/>
    <w:rsid w:val="00483379"/>
    <w:rsid w:val="00487BC5"/>
    <w:rsid w:val="004907CE"/>
    <w:rsid w:val="00496888"/>
    <w:rsid w:val="004A7476"/>
    <w:rsid w:val="004E5896"/>
    <w:rsid w:val="00513EE6"/>
    <w:rsid w:val="00534F8F"/>
    <w:rsid w:val="00590035"/>
    <w:rsid w:val="005B177E"/>
    <w:rsid w:val="005B3921"/>
    <w:rsid w:val="005F26D7"/>
    <w:rsid w:val="005F5450"/>
    <w:rsid w:val="0063478B"/>
    <w:rsid w:val="006D0412"/>
    <w:rsid w:val="0073289C"/>
    <w:rsid w:val="007411B9"/>
    <w:rsid w:val="00780D95"/>
    <w:rsid w:val="00780DC7"/>
    <w:rsid w:val="007967B5"/>
    <w:rsid w:val="007A0D55"/>
    <w:rsid w:val="007B3377"/>
    <w:rsid w:val="007C6C7D"/>
    <w:rsid w:val="007E5F44"/>
    <w:rsid w:val="00821DE3"/>
    <w:rsid w:val="00846CE1"/>
    <w:rsid w:val="00876FBD"/>
    <w:rsid w:val="008A5B87"/>
    <w:rsid w:val="00922950"/>
    <w:rsid w:val="00935B2A"/>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7620"/>
    <w:rsid w:val="00D656DA"/>
    <w:rsid w:val="00D83300"/>
    <w:rsid w:val="00D83632"/>
    <w:rsid w:val="00DA4B1A"/>
    <w:rsid w:val="00DC6B48"/>
    <w:rsid w:val="00DF01B0"/>
    <w:rsid w:val="00E85A05"/>
    <w:rsid w:val="00E95829"/>
    <w:rsid w:val="00EA606C"/>
    <w:rsid w:val="00EB0C8C"/>
    <w:rsid w:val="00EB51FD"/>
    <w:rsid w:val="00EB77DB"/>
    <w:rsid w:val="00ED139F"/>
    <w:rsid w:val="00EF74F7"/>
    <w:rsid w:val="00F36937"/>
    <w:rsid w:val="00F60F53"/>
    <w:rsid w:val="00F61325"/>
    <w:rsid w:val="00F620C6"/>
    <w:rsid w:val="00F81D1F"/>
    <w:rsid w:val="00FA1925"/>
    <w:rsid w:val="00FB11DE"/>
    <w:rsid w:val="00FB589A"/>
    <w:rsid w:val="00FB7317"/>
    <w:rsid w:val="00FD312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AC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0C6"/>
    <w:rPr>
      <w:rFonts w:ascii="Tahoma" w:hAnsi="Tahoma" w:cs="Tahoma"/>
      <w:sz w:val="16"/>
      <w:szCs w:val="16"/>
    </w:rPr>
  </w:style>
  <w:style w:type="paragraph" w:styleId="ListParagraph">
    <w:name w:val="List Paragraph"/>
    <w:basedOn w:val="Normal"/>
    <w:uiPriority w:val="34"/>
    <w:semiHidden/>
    <w:qFormat/>
    <w:rsid w:val="00F81D1F"/>
    <w:pPr>
      <w:ind w:left="720"/>
      <w:contextualSpacing/>
    </w:pPr>
  </w:style>
  <w:style w:type="paragraph" w:styleId="EndnoteText">
    <w:name w:val="endnote text"/>
    <w:basedOn w:val="Normal"/>
    <w:link w:val="EndnoteTextChar"/>
    <w:uiPriority w:val="99"/>
    <w:semiHidden/>
    <w:unhideWhenUsed/>
    <w:rsid w:val="0063478B"/>
    <w:pPr>
      <w:spacing w:after="0" w:line="240" w:lineRule="auto"/>
    </w:pPr>
    <w:rPr>
      <w:sz w:val="20"/>
      <w:szCs w:val="20"/>
      <w:lang w:val="en-US"/>
    </w:rPr>
  </w:style>
  <w:style w:type="character" w:customStyle="1" w:styleId="EndnoteTextChar">
    <w:name w:val="Endnote Text Char"/>
    <w:basedOn w:val="DefaultParagraphFont"/>
    <w:link w:val="EndnoteText"/>
    <w:uiPriority w:val="99"/>
    <w:semiHidden/>
    <w:rsid w:val="0063478B"/>
    <w:rPr>
      <w:sz w:val="20"/>
      <w:szCs w:val="20"/>
      <w:lang w:val="en-US"/>
    </w:rPr>
  </w:style>
  <w:style w:type="character" w:styleId="EndnoteReference">
    <w:name w:val="endnote reference"/>
    <w:basedOn w:val="DefaultParagraphFont"/>
    <w:uiPriority w:val="99"/>
    <w:semiHidden/>
    <w:unhideWhenUsed/>
    <w:rsid w:val="0063478B"/>
    <w:rPr>
      <w:vertAlign w:val="superscript"/>
    </w:rPr>
  </w:style>
  <w:style w:type="paragraph" w:styleId="Caption">
    <w:name w:val="caption"/>
    <w:basedOn w:val="Normal"/>
    <w:next w:val="Normal"/>
    <w:uiPriority w:val="35"/>
    <w:semiHidden/>
    <w:qFormat/>
    <w:rsid w:val="00DA4B1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0C6"/>
    <w:rPr>
      <w:rFonts w:ascii="Tahoma" w:hAnsi="Tahoma" w:cs="Tahoma"/>
      <w:sz w:val="16"/>
      <w:szCs w:val="16"/>
    </w:rPr>
  </w:style>
  <w:style w:type="paragraph" w:styleId="ListParagraph">
    <w:name w:val="List Paragraph"/>
    <w:basedOn w:val="Normal"/>
    <w:uiPriority w:val="34"/>
    <w:semiHidden/>
    <w:qFormat/>
    <w:rsid w:val="00F81D1F"/>
    <w:pPr>
      <w:ind w:left="720"/>
      <w:contextualSpacing/>
    </w:pPr>
  </w:style>
  <w:style w:type="paragraph" w:styleId="EndnoteText">
    <w:name w:val="endnote text"/>
    <w:basedOn w:val="Normal"/>
    <w:link w:val="EndnoteTextChar"/>
    <w:uiPriority w:val="99"/>
    <w:semiHidden/>
    <w:unhideWhenUsed/>
    <w:rsid w:val="0063478B"/>
    <w:pPr>
      <w:spacing w:after="0" w:line="240" w:lineRule="auto"/>
    </w:pPr>
    <w:rPr>
      <w:sz w:val="20"/>
      <w:szCs w:val="20"/>
      <w:lang w:val="en-US"/>
    </w:rPr>
  </w:style>
  <w:style w:type="character" w:customStyle="1" w:styleId="EndnoteTextChar">
    <w:name w:val="Endnote Text Char"/>
    <w:basedOn w:val="DefaultParagraphFont"/>
    <w:link w:val="EndnoteText"/>
    <w:uiPriority w:val="99"/>
    <w:semiHidden/>
    <w:rsid w:val="0063478B"/>
    <w:rPr>
      <w:sz w:val="20"/>
      <w:szCs w:val="20"/>
      <w:lang w:val="en-US"/>
    </w:rPr>
  </w:style>
  <w:style w:type="character" w:styleId="EndnoteReference">
    <w:name w:val="endnote reference"/>
    <w:basedOn w:val="DefaultParagraphFont"/>
    <w:uiPriority w:val="99"/>
    <w:semiHidden/>
    <w:unhideWhenUsed/>
    <w:rsid w:val="0063478B"/>
    <w:rPr>
      <w:vertAlign w:val="superscript"/>
    </w:rPr>
  </w:style>
  <w:style w:type="paragraph" w:styleId="Caption">
    <w:name w:val="caption"/>
    <w:basedOn w:val="Normal"/>
    <w:next w:val="Normal"/>
    <w:uiPriority w:val="35"/>
    <w:semiHidden/>
    <w:qFormat/>
    <w:rsid w:val="00DA4B1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235209">
      <w:bodyDiv w:val="1"/>
      <w:marLeft w:val="0"/>
      <w:marRight w:val="0"/>
      <w:marTop w:val="0"/>
      <w:marBottom w:val="0"/>
      <w:divBdr>
        <w:top w:val="none" w:sz="0" w:space="0" w:color="auto"/>
        <w:left w:val="none" w:sz="0" w:space="0" w:color="auto"/>
        <w:bottom w:val="none" w:sz="0" w:space="0" w:color="auto"/>
        <w:right w:val="none" w:sz="0" w:space="0" w:color="auto"/>
      </w:divBdr>
      <w:divsChild>
        <w:div w:id="628361047">
          <w:marLeft w:val="0"/>
          <w:marRight w:val="0"/>
          <w:marTop w:val="0"/>
          <w:marBottom w:val="0"/>
          <w:divBdr>
            <w:top w:val="none" w:sz="0" w:space="0" w:color="auto"/>
            <w:left w:val="none" w:sz="0" w:space="0" w:color="auto"/>
            <w:bottom w:val="none" w:sz="0" w:space="0" w:color="auto"/>
            <w:right w:val="none" w:sz="0" w:space="0" w:color="auto"/>
          </w:divBdr>
        </w:div>
      </w:divsChild>
    </w:div>
    <w:div w:id="1660645489">
      <w:bodyDiv w:val="1"/>
      <w:marLeft w:val="0"/>
      <w:marRight w:val="0"/>
      <w:marTop w:val="0"/>
      <w:marBottom w:val="0"/>
      <w:divBdr>
        <w:top w:val="none" w:sz="0" w:space="0" w:color="auto"/>
        <w:left w:val="none" w:sz="0" w:space="0" w:color="auto"/>
        <w:bottom w:val="none" w:sz="0" w:space="0" w:color="auto"/>
        <w:right w:val="none" w:sz="0" w:space="0" w:color="auto"/>
      </w:divBdr>
      <w:divsChild>
        <w:div w:id="752311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h\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88531BBAE44FDB96C289D55C3DB25B"/>
        <w:category>
          <w:name w:val="General"/>
          <w:gallery w:val="placeholder"/>
        </w:category>
        <w:types>
          <w:type w:val="bbPlcHdr"/>
        </w:types>
        <w:behaviors>
          <w:behavior w:val="content"/>
        </w:behaviors>
        <w:guid w:val="{371E9143-5DE2-4AE2-AC21-F24E020264F9}"/>
      </w:docPartPr>
      <w:docPartBody>
        <w:p w:rsidR="001F0191" w:rsidRDefault="00E639FB">
          <w:pPr>
            <w:pStyle w:val="F888531BBAE44FDB96C289D55C3DB25B"/>
          </w:pPr>
          <w:r w:rsidRPr="00CC586D">
            <w:rPr>
              <w:rStyle w:val="PlaceholderText"/>
              <w:b/>
              <w:color w:val="FFFFFF" w:themeColor="background1"/>
            </w:rPr>
            <w:t>[Salutation]</w:t>
          </w:r>
        </w:p>
      </w:docPartBody>
    </w:docPart>
    <w:docPart>
      <w:docPartPr>
        <w:name w:val="716087E81AFD491B941A705E66C38A81"/>
        <w:category>
          <w:name w:val="General"/>
          <w:gallery w:val="placeholder"/>
        </w:category>
        <w:types>
          <w:type w:val="bbPlcHdr"/>
        </w:types>
        <w:behaviors>
          <w:behavior w:val="content"/>
        </w:behaviors>
        <w:guid w:val="{C9723C3E-0292-4DC6-8755-F93454CFED7B}"/>
      </w:docPartPr>
      <w:docPartBody>
        <w:p w:rsidR="001F0191" w:rsidRDefault="00E639FB">
          <w:pPr>
            <w:pStyle w:val="716087E81AFD491B941A705E66C38A81"/>
          </w:pPr>
          <w:r>
            <w:rPr>
              <w:rStyle w:val="PlaceholderText"/>
            </w:rPr>
            <w:t>[First name]</w:t>
          </w:r>
        </w:p>
      </w:docPartBody>
    </w:docPart>
    <w:docPart>
      <w:docPartPr>
        <w:name w:val="C666D1E93E3C44C49C40148AE9350F03"/>
        <w:category>
          <w:name w:val="General"/>
          <w:gallery w:val="placeholder"/>
        </w:category>
        <w:types>
          <w:type w:val="bbPlcHdr"/>
        </w:types>
        <w:behaviors>
          <w:behavior w:val="content"/>
        </w:behaviors>
        <w:guid w:val="{C5B4BEC2-1080-458E-B8EF-86D2C1A34736}"/>
      </w:docPartPr>
      <w:docPartBody>
        <w:p w:rsidR="001F0191" w:rsidRDefault="00E639FB">
          <w:pPr>
            <w:pStyle w:val="C666D1E93E3C44C49C40148AE9350F03"/>
          </w:pPr>
          <w:r>
            <w:rPr>
              <w:rStyle w:val="PlaceholderText"/>
            </w:rPr>
            <w:t>[Middle name]</w:t>
          </w:r>
        </w:p>
      </w:docPartBody>
    </w:docPart>
    <w:docPart>
      <w:docPartPr>
        <w:name w:val="0B80EBF7FD8B44F295E7DC946F9675DA"/>
        <w:category>
          <w:name w:val="General"/>
          <w:gallery w:val="placeholder"/>
        </w:category>
        <w:types>
          <w:type w:val="bbPlcHdr"/>
        </w:types>
        <w:behaviors>
          <w:behavior w:val="content"/>
        </w:behaviors>
        <w:guid w:val="{595172CA-2AF4-4414-A121-2C1B7824C71A}"/>
      </w:docPartPr>
      <w:docPartBody>
        <w:p w:rsidR="001F0191" w:rsidRDefault="00E639FB">
          <w:pPr>
            <w:pStyle w:val="0B80EBF7FD8B44F295E7DC946F9675DA"/>
          </w:pPr>
          <w:r>
            <w:rPr>
              <w:rStyle w:val="PlaceholderText"/>
            </w:rPr>
            <w:t>[Last name]</w:t>
          </w:r>
        </w:p>
      </w:docPartBody>
    </w:docPart>
    <w:docPart>
      <w:docPartPr>
        <w:name w:val="10110165D0C14CF6B76A72682A72C468"/>
        <w:category>
          <w:name w:val="General"/>
          <w:gallery w:val="placeholder"/>
        </w:category>
        <w:types>
          <w:type w:val="bbPlcHdr"/>
        </w:types>
        <w:behaviors>
          <w:behavior w:val="content"/>
        </w:behaviors>
        <w:guid w:val="{507881A8-E7EB-444A-B4A6-AD7C7A77FE57}"/>
      </w:docPartPr>
      <w:docPartBody>
        <w:p w:rsidR="001F0191" w:rsidRDefault="00E639FB">
          <w:pPr>
            <w:pStyle w:val="10110165D0C14CF6B76A72682A72C468"/>
          </w:pPr>
          <w:r>
            <w:rPr>
              <w:rStyle w:val="PlaceholderText"/>
            </w:rPr>
            <w:t>[Enter your biography]</w:t>
          </w:r>
        </w:p>
      </w:docPartBody>
    </w:docPart>
    <w:docPart>
      <w:docPartPr>
        <w:name w:val="C93E7439A1294E0D846ED82F4CDFAD90"/>
        <w:category>
          <w:name w:val="General"/>
          <w:gallery w:val="placeholder"/>
        </w:category>
        <w:types>
          <w:type w:val="bbPlcHdr"/>
        </w:types>
        <w:behaviors>
          <w:behavior w:val="content"/>
        </w:behaviors>
        <w:guid w:val="{CFDA713E-B203-49CB-916B-5B21FF66525B}"/>
      </w:docPartPr>
      <w:docPartBody>
        <w:p w:rsidR="001F0191" w:rsidRDefault="00E639FB">
          <w:pPr>
            <w:pStyle w:val="C93E7439A1294E0D846ED82F4CDFAD90"/>
          </w:pPr>
          <w:r>
            <w:rPr>
              <w:rStyle w:val="PlaceholderText"/>
            </w:rPr>
            <w:t>[Enter the institution with which you are affiliated]</w:t>
          </w:r>
        </w:p>
      </w:docPartBody>
    </w:docPart>
    <w:docPart>
      <w:docPartPr>
        <w:name w:val="AA25C331D23040C4A6FB7C5E5600C845"/>
        <w:category>
          <w:name w:val="General"/>
          <w:gallery w:val="placeholder"/>
        </w:category>
        <w:types>
          <w:type w:val="bbPlcHdr"/>
        </w:types>
        <w:behaviors>
          <w:behavior w:val="content"/>
        </w:behaviors>
        <w:guid w:val="{A5755FC1-5C36-447D-9725-D12524308E28}"/>
      </w:docPartPr>
      <w:docPartBody>
        <w:p w:rsidR="001F0191" w:rsidRDefault="00E639FB">
          <w:pPr>
            <w:pStyle w:val="AA25C331D23040C4A6FB7C5E5600C845"/>
          </w:pPr>
          <w:r w:rsidRPr="00EF74F7">
            <w:rPr>
              <w:b/>
              <w:color w:val="808080" w:themeColor="background1" w:themeShade="80"/>
            </w:rPr>
            <w:t>[Enter the headword for your article]</w:t>
          </w:r>
        </w:p>
      </w:docPartBody>
    </w:docPart>
    <w:docPart>
      <w:docPartPr>
        <w:name w:val="6B0D409CD100405688FBFCE225434A43"/>
        <w:category>
          <w:name w:val="General"/>
          <w:gallery w:val="placeholder"/>
        </w:category>
        <w:types>
          <w:type w:val="bbPlcHdr"/>
        </w:types>
        <w:behaviors>
          <w:behavior w:val="content"/>
        </w:behaviors>
        <w:guid w:val="{71178C05-3D43-47EB-999B-57B92C42F225}"/>
      </w:docPartPr>
      <w:docPartBody>
        <w:p w:rsidR="001F0191" w:rsidRDefault="00E639FB">
          <w:pPr>
            <w:pStyle w:val="6B0D409CD100405688FBFCE225434A4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2449D321F6402B893347F1CB6EE2A2"/>
        <w:category>
          <w:name w:val="General"/>
          <w:gallery w:val="placeholder"/>
        </w:category>
        <w:types>
          <w:type w:val="bbPlcHdr"/>
        </w:types>
        <w:behaviors>
          <w:behavior w:val="content"/>
        </w:behaviors>
        <w:guid w:val="{76D6A6EF-8349-4CE3-89F8-F9BCBF4B7982}"/>
      </w:docPartPr>
      <w:docPartBody>
        <w:p w:rsidR="001F0191" w:rsidRDefault="00E639FB">
          <w:pPr>
            <w:pStyle w:val="262449D321F6402B893347F1CB6EE2A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579A28546C43E4AB71A5A6CBA2DC42"/>
        <w:category>
          <w:name w:val="General"/>
          <w:gallery w:val="placeholder"/>
        </w:category>
        <w:types>
          <w:type w:val="bbPlcHdr"/>
        </w:types>
        <w:behaviors>
          <w:behavior w:val="content"/>
        </w:behaviors>
        <w:guid w:val="{432072B9-FA53-481E-9A67-4E72556BB639}"/>
      </w:docPartPr>
      <w:docPartBody>
        <w:p w:rsidR="001F0191" w:rsidRDefault="00E639FB">
          <w:pPr>
            <w:pStyle w:val="7B579A28546C43E4AB71A5A6CBA2DC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850A718F77E439A95433FDC6FE45CC8"/>
        <w:category>
          <w:name w:val="General"/>
          <w:gallery w:val="placeholder"/>
        </w:category>
        <w:types>
          <w:type w:val="bbPlcHdr"/>
        </w:types>
        <w:behaviors>
          <w:behavior w:val="content"/>
        </w:behaviors>
        <w:guid w:val="{EF80745D-B4B0-4BBB-9686-AC7C9754C3C9}"/>
      </w:docPartPr>
      <w:docPartBody>
        <w:p w:rsidR="001F0191" w:rsidRDefault="00E639FB">
          <w:pPr>
            <w:pStyle w:val="A850A718F77E439A95433FDC6FE45CC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9FB"/>
    <w:rsid w:val="001F0191"/>
    <w:rsid w:val="004359B7"/>
    <w:rsid w:val="00B64CC9"/>
    <w:rsid w:val="00E639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88531BBAE44FDB96C289D55C3DB25B">
    <w:name w:val="F888531BBAE44FDB96C289D55C3DB25B"/>
  </w:style>
  <w:style w:type="paragraph" w:customStyle="1" w:styleId="716087E81AFD491B941A705E66C38A81">
    <w:name w:val="716087E81AFD491B941A705E66C38A81"/>
  </w:style>
  <w:style w:type="paragraph" w:customStyle="1" w:styleId="C666D1E93E3C44C49C40148AE9350F03">
    <w:name w:val="C666D1E93E3C44C49C40148AE9350F03"/>
  </w:style>
  <w:style w:type="paragraph" w:customStyle="1" w:styleId="0B80EBF7FD8B44F295E7DC946F9675DA">
    <w:name w:val="0B80EBF7FD8B44F295E7DC946F9675DA"/>
  </w:style>
  <w:style w:type="paragraph" w:customStyle="1" w:styleId="10110165D0C14CF6B76A72682A72C468">
    <w:name w:val="10110165D0C14CF6B76A72682A72C468"/>
  </w:style>
  <w:style w:type="paragraph" w:customStyle="1" w:styleId="C93E7439A1294E0D846ED82F4CDFAD90">
    <w:name w:val="C93E7439A1294E0D846ED82F4CDFAD90"/>
  </w:style>
  <w:style w:type="paragraph" w:customStyle="1" w:styleId="AA25C331D23040C4A6FB7C5E5600C845">
    <w:name w:val="AA25C331D23040C4A6FB7C5E5600C845"/>
  </w:style>
  <w:style w:type="paragraph" w:customStyle="1" w:styleId="6B0D409CD100405688FBFCE225434A43">
    <w:name w:val="6B0D409CD100405688FBFCE225434A43"/>
  </w:style>
  <w:style w:type="paragraph" w:customStyle="1" w:styleId="262449D321F6402B893347F1CB6EE2A2">
    <w:name w:val="262449D321F6402B893347F1CB6EE2A2"/>
  </w:style>
  <w:style w:type="paragraph" w:customStyle="1" w:styleId="7B579A28546C43E4AB71A5A6CBA2DC42">
    <w:name w:val="7B579A28546C43E4AB71A5A6CBA2DC42"/>
  </w:style>
  <w:style w:type="paragraph" w:customStyle="1" w:styleId="A850A718F77E439A95433FDC6FE45CC8">
    <w:name w:val="A850A718F77E439A95433FDC6FE45C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88531BBAE44FDB96C289D55C3DB25B">
    <w:name w:val="F888531BBAE44FDB96C289D55C3DB25B"/>
  </w:style>
  <w:style w:type="paragraph" w:customStyle="1" w:styleId="716087E81AFD491B941A705E66C38A81">
    <w:name w:val="716087E81AFD491B941A705E66C38A81"/>
  </w:style>
  <w:style w:type="paragraph" w:customStyle="1" w:styleId="C666D1E93E3C44C49C40148AE9350F03">
    <w:name w:val="C666D1E93E3C44C49C40148AE9350F03"/>
  </w:style>
  <w:style w:type="paragraph" w:customStyle="1" w:styleId="0B80EBF7FD8B44F295E7DC946F9675DA">
    <w:name w:val="0B80EBF7FD8B44F295E7DC946F9675DA"/>
  </w:style>
  <w:style w:type="paragraph" w:customStyle="1" w:styleId="10110165D0C14CF6B76A72682A72C468">
    <w:name w:val="10110165D0C14CF6B76A72682A72C468"/>
  </w:style>
  <w:style w:type="paragraph" w:customStyle="1" w:styleId="C93E7439A1294E0D846ED82F4CDFAD90">
    <w:name w:val="C93E7439A1294E0D846ED82F4CDFAD90"/>
  </w:style>
  <w:style w:type="paragraph" w:customStyle="1" w:styleId="AA25C331D23040C4A6FB7C5E5600C845">
    <w:name w:val="AA25C331D23040C4A6FB7C5E5600C845"/>
  </w:style>
  <w:style w:type="paragraph" w:customStyle="1" w:styleId="6B0D409CD100405688FBFCE225434A43">
    <w:name w:val="6B0D409CD100405688FBFCE225434A43"/>
  </w:style>
  <w:style w:type="paragraph" w:customStyle="1" w:styleId="262449D321F6402B893347F1CB6EE2A2">
    <w:name w:val="262449D321F6402B893347F1CB6EE2A2"/>
  </w:style>
  <w:style w:type="paragraph" w:customStyle="1" w:styleId="7B579A28546C43E4AB71A5A6CBA2DC42">
    <w:name w:val="7B579A28546C43E4AB71A5A6CBA2DC42"/>
  </w:style>
  <w:style w:type="paragraph" w:customStyle="1" w:styleId="A850A718F77E439A95433FDC6FE45CC8">
    <w:name w:val="A850A718F77E439A95433FDC6FE45C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Kat99</b:Tag>
    <b:SourceType>Book</b:SourceType>
    <b:Guid>{AE8B9021-B095-4FA7-8FF4-5ADA9E03B4C2}</b:Guid>
    <b:Author>
      <b:Author>
        <b:NameList>
          <b:Person>
            <b:Last>Katouzian</b:Last>
            <b:First>Homa</b:First>
          </b:Person>
        </b:NameList>
      </b:Author>
    </b:Author>
    <b:Title>Sadeq Hedayat: The Life and Legend of an Iranian Writer</b:Title>
    <b:Year>1999</b:Year>
    <b:City>London</b:City>
    <b:Publisher>I.B.Tauris &amp; Co Ltd</b:Publisher>
    <b:RefOrder>1</b:RefOrder>
  </b:Source>
  <b:Source>
    <b:Tag>Far88</b:Tag>
    <b:SourceType>Book</b:SourceType>
    <b:Guid>{6F192BB9-964E-4ABD-A834-FCD2863B19C4}</b:Guid>
    <b:Author>
      <b:Author>
        <b:NameList>
          <b:Person>
            <b:Last>Farzaneh</b:Last>
            <b:First>M.F.</b:First>
          </b:Person>
        </b:NameList>
      </b:Author>
    </b:Author>
    <b:Title>Ashnaee ba Sadegh Hedayat (Vol. 2)</b:Title>
    <b:Year>1988</b:Year>
    <b:City>Paris</b:City>
    <b:Publisher>Diffusion</b:Publisher>
    <b:RefOrder>3</b:RefOrder>
  </b:Source>
  <b:Source>
    <b:Tag>Far881</b:Tag>
    <b:SourceType>Book</b:SourceType>
    <b:Guid>{81B0F149-BDB0-4349-AFA8-227F85509D2A}</b:Guid>
    <b:Author>
      <b:Author>
        <b:NameList>
          <b:Person>
            <b:Last>Farzaneh</b:Last>
            <b:First>M.F.</b:First>
          </b:Person>
        </b:NameList>
      </b:Author>
    </b:Author>
    <b:Title>Ashnaee ba Sadegh Hedayat (Vol. 1)</b:Title>
    <b:Year>1988</b:Year>
    <b:City>Paris</b:City>
    <b:Publisher>Diffusion</b:Publisher>
    <b:RefOrder>4</b:RefOrder>
  </b:Source>
  <b:Source>
    <b:Tag>San03</b:Tag>
    <b:SourceType>Book</b:SourceType>
    <b:Guid>{F9AF4747-09FB-421F-892E-BE285DE47DB8}</b:Guid>
    <b:Author>
      <b:Author>
        <b:NameList>
          <b:Person>
            <b:Last>Sanati</b:Last>
            <b:First>Mohammad</b:First>
          </b:Person>
        </b:NameList>
      </b:Author>
    </b:Author>
    <b:Title>Sadegh Hedayat va Haras az Marg</b:Title>
    <b:Year>2003</b:Year>
    <b:City>Tehran</b:City>
    <b:Publisher>Markaz</b:Publisher>
    <b:RefOrder>5</b:RefOrder>
  </b:Source>
  <b:Source>
    <b:Tag>Bea90</b:Tag>
    <b:SourceType>Book</b:SourceType>
    <b:Guid>{C20A658F-20C6-914B-8DBF-FC18E826229B}</b:Guid>
    <b:Author>
      <b:Author>
        <b:NameList>
          <b:Person>
            <b:Last>Beard</b:Last>
            <b:First>Michael</b:First>
          </b:Person>
        </b:NameList>
      </b:Author>
    </b:Author>
    <b:Title>Hedayat's "Blind Owl" as a Western Novel</b:Title>
    <b:Year>1990</b:Year>
    <b:City>New Jersey</b:City>
    <b:Publisher>Princeton UP</b:Publisher>
    <b:RefOrder>2</b:RefOrder>
  </b:Source>
  <b:Source>
    <b:Tag>Fis04</b:Tag>
    <b:SourceType>Book</b:SourceType>
    <b:Guid>{6DFB038E-5A34-4D43-8D1D-A2804818255D}</b:Guid>
    <b:Author>
      <b:Author>
        <b:NameList>
          <b:Person>
            <b:Last>Fischer</b:Last>
            <b:First>M.</b:First>
            <b:Middle>J.</b:Middle>
          </b:Person>
        </b:NameList>
      </b:Author>
    </b:Author>
    <b:Title>Mute Dreams, Blind Owls, and Dispersed Knowledges: Persian Poesis in the Transnational Circuitry</b:Title>
    <b:Year>2004</b:Year>
    <b:City>London</b:City>
    <b:Publisher>Duke UP</b:Publisher>
    <b:RefOrder>6</b:RefOrder>
  </b:Source>
</b:Sources>
</file>

<file path=customXml/itemProps1.xml><?xml version="1.0" encoding="utf-8"?>
<ds:datastoreItem xmlns:ds="http://schemas.openxmlformats.org/officeDocument/2006/customXml" ds:itemID="{65752DAA-6853-2742-8BCA-4DC7FDFFA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\Users\Kaveh\Desktop\Routledge Enyclopedia of Modernism Word Template.dotx</Template>
  <TotalTime>170</TotalTime>
  <Pages>5</Pages>
  <Words>1800</Words>
  <Characters>10263</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Kaveh</dc:creator>
  <cp:lastModifiedBy>Caroline Winter</cp:lastModifiedBy>
  <cp:revision>15</cp:revision>
  <dcterms:created xsi:type="dcterms:W3CDTF">2016-01-31T02:47:00Z</dcterms:created>
  <dcterms:modified xsi:type="dcterms:W3CDTF">2016-04-05T05:14:00Z</dcterms:modified>
</cp:coreProperties>
</file>