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5ECC4586EF5A142828D11C848CF5A05"/>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5DD9299A6ED442BF09F607D7CB6FC5"/>
            </w:placeholder>
            <w:text/>
          </w:sdtPr>
          <w:sdtContent>
            <w:tc>
              <w:tcPr>
                <w:tcW w:w="2073" w:type="dxa"/>
              </w:tcPr>
              <w:p w:rsidR="00B574C9" w:rsidRDefault="000C7767" w:rsidP="000C7767">
                <w:r>
                  <w:t>Todd</w:t>
                </w:r>
              </w:p>
            </w:tc>
          </w:sdtContent>
        </w:sdt>
        <w:sdt>
          <w:sdtPr>
            <w:alias w:val="Middle name"/>
            <w:tag w:val="authorMiddleName"/>
            <w:id w:val="-2076034781"/>
            <w:placeholder>
              <w:docPart w:val="DDF25F7A650D624BB8A55D09694577B2"/>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653CEA01EE92A4C958FED57DF8BEB36"/>
            </w:placeholder>
            <w:text/>
          </w:sdtPr>
          <w:sdtContent>
            <w:tc>
              <w:tcPr>
                <w:tcW w:w="2642" w:type="dxa"/>
              </w:tcPr>
              <w:p w:rsidR="00B574C9" w:rsidRDefault="000C7767" w:rsidP="000C7767">
                <w:r>
                  <w:t>Heidt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283EC73FBA4CD409DE3EDF458AE9B88"/>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260AD420649364B87330CB2164F3BB4"/>
            </w:placeholder>
            <w:text/>
          </w:sdtPr>
          <w:sdtContent>
            <w:tc>
              <w:tcPr>
                <w:tcW w:w="8525" w:type="dxa"/>
                <w:gridSpan w:val="4"/>
              </w:tcPr>
              <w:p w:rsidR="00B574C9" w:rsidRDefault="002742CB" w:rsidP="002742CB">
                <w:r>
                  <w:t>Knox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AFFBCC2918AAC348BD6DEBC9FBC6D63F"/>
            </w:placeholder>
            <w:text/>
          </w:sdtPr>
          <w:sdtContent>
            <w:tc>
              <w:tcPr>
                <w:tcW w:w="9016" w:type="dxa"/>
                <w:tcMar>
                  <w:top w:w="113" w:type="dxa"/>
                  <w:bottom w:w="113" w:type="dxa"/>
                </w:tcMar>
              </w:tcPr>
              <w:p w:rsidR="003F0D73" w:rsidRPr="00FB589A" w:rsidRDefault="000C7767" w:rsidP="003F0D73">
                <w:pPr>
                  <w:rPr>
                    <w:b/>
                  </w:rPr>
                </w:pPr>
                <w:r w:rsidRPr="000C7767">
                  <w:rPr>
                    <w:rFonts w:eastAsiaTheme="minorEastAsia"/>
                    <w:lang w:eastAsia="ja-JP"/>
                  </w:rPr>
                  <w:t>Döblin, (Bruno) Alfred (1878-1957)</w:t>
                </w:r>
              </w:p>
            </w:tc>
          </w:sdtContent>
        </w:sdt>
      </w:tr>
      <w:tr w:rsidR="00464699" w:rsidTr="000C7767">
        <w:sdt>
          <w:sdtPr>
            <w:alias w:val="Variant headwords"/>
            <w:tag w:val="variantHeadwords"/>
            <w:id w:val="173464402"/>
            <w:placeholder>
              <w:docPart w:val="2594E30A7F3A81448299B386A126F852"/>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56572A60371724D896F268D378A16EC"/>
            </w:placeholder>
          </w:sdtPr>
          <w:sdtContent>
            <w:tc>
              <w:tcPr>
                <w:tcW w:w="9016" w:type="dxa"/>
                <w:tcMar>
                  <w:top w:w="113" w:type="dxa"/>
                  <w:bottom w:w="113" w:type="dxa"/>
                </w:tcMar>
              </w:tcPr>
              <w:p w:rsidR="000C7767" w:rsidRDefault="000C7767" w:rsidP="000C7767">
                <w:r w:rsidRPr="0036050C">
                  <w:t>Alfred Döblin</w:t>
                </w:r>
                <w:r>
                  <w:t>’s</w:t>
                </w:r>
                <w:r w:rsidRPr="0036050C">
                  <w:t xml:space="preserve"> contributions</w:t>
                </w:r>
                <w:r>
                  <w:t xml:space="preserve"> to modern literature consist primarily of</w:t>
                </w:r>
                <w:r w:rsidRPr="0036050C">
                  <w:t xml:space="preserve"> his montage style, epic narrative structures and critical eye toward contemporary culture. His masterpiece </w:t>
                </w:r>
                <w:r>
                  <w:rPr>
                    <w:i/>
                  </w:rPr>
                  <w:t>Berlin Alexanderplatz. Die Geschichte vom Franz Biberkopf</w:t>
                </w:r>
                <w:r w:rsidRPr="0036050C">
                  <w:t xml:space="preserve"> (</w:t>
                </w:r>
                <w:r w:rsidRPr="0036050C">
                  <w:rPr>
                    <w:i/>
                  </w:rPr>
                  <w:t>Berlin Alexanderplatz. The Story of Franz Biberkopf</w:t>
                </w:r>
                <w:r w:rsidRPr="0036050C">
                  <w:t xml:space="preserve">) </w:t>
                </w:r>
                <w:r>
                  <w:t xml:space="preserve">brought international acclaim and </w:t>
                </w:r>
                <w:r w:rsidRPr="0036050C">
                  <w:t xml:space="preserve">is often credited as the first German-language city novel. He was Jewish and thus fled the Nazi regime, settling in Hollywood for a time. He returned to Germany as a French Cultural Officer; however, he found Germany unwilling to cope with the recent past. </w:t>
                </w:r>
                <w:r>
                  <w:t>Feeling</w:t>
                </w:r>
                <w:r w:rsidRPr="0036050C">
                  <w:t xml:space="preserve"> </w:t>
                </w:r>
                <w:r>
                  <w:t>out of</w:t>
                </w:r>
                <w:r w:rsidRPr="0036050C">
                  <w:t xml:space="preserve"> place in</w:t>
                </w:r>
                <w:r>
                  <w:t xml:space="preserve"> </w:t>
                </w:r>
                <w:r w:rsidRPr="0036050C">
                  <w:t xml:space="preserve">Germany, he </w:t>
                </w:r>
                <w:proofErr w:type="gramStart"/>
                <w:r w:rsidRPr="0036050C">
                  <w:t>emigrated</w:t>
                </w:r>
                <w:proofErr w:type="gramEnd"/>
                <w:r w:rsidRPr="0036050C">
                  <w:t xml:space="preserve"> again in 1953 to France, and died in 1957.</w:t>
                </w:r>
              </w:p>
              <w:p w:rsidR="000C7767" w:rsidRDefault="000C7767" w:rsidP="000C7767"/>
              <w:p w:rsidR="00E85A05" w:rsidRDefault="000C7767" w:rsidP="000C7767">
                <w:r w:rsidRPr="0036050C">
                  <w:t xml:space="preserve">Döblin was </w:t>
                </w:r>
                <w:r>
                  <w:t xml:space="preserve">born </w:t>
                </w:r>
                <w:r w:rsidRPr="0036050C">
                  <w:t>the fourth of five children</w:t>
                </w:r>
                <w:r>
                  <w:t xml:space="preserve"> in Szcecin (modern-day Poland)</w:t>
                </w:r>
                <w:r w:rsidRPr="0036050C">
                  <w:t xml:space="preserve">. His father abandoned the family </w:t>
                </w:r>
                <w:r>
                  <w:t>when</w:t>
                </w:r>
                <w:r w:rsidRPr="0036050C">
                  <w:t xml:space="preserve"> Döblin was </w:t>
                </w:r>
                <w:r>
                  <w:t>still young</w:t>
                </w:r>
                <w:r w:rsidRPr="0036050C">
                  <w:t xml:space="preserve">, </w:t>
                </w:r>
                <w:r>
                  <w:t>motivating</w:t>
                </w:r>
                <w:r w:rsidRPr="0036050C">
                  <w:t xml:space="preserve"> his mother to relocate to Berlin</w:t>
                </w:r>
                <w:r>
                  <w:t xml:space="preserve"> in 1888</w:t>
                </w:r>
                <w:r w:rsidRPr="0036050C">
                  <w:t>. H</w:t>
                </w:r>
                <w:r>
                  <w:t xml:space="preserve">e grew up in the working-class </w:t>
                </w:r>
                <w:r w:rsidRPr="0036050C">
                  <w:t>neighbourhoods</w:t>
                </w:r>
                <w:r>
                  <w:t xml:space="preserve"> and studied medicine</w:t>
                </w:r>
                <w:r w:rsidRPr="0036050C">
                  <w:t xml:space="preserve">. </w:t>
                </w:r>
                <w:r>
                  <w:t xml:space="preserve">His first publication, </w:t>
                </w:r>
                <w:r>
                  <w:rPr>
                    <w:i/>
                  </w:rPr>
                  <w:t xml:space="preserve">Lydia und Mäxchen </w:t>
                </w:r>
                <w:r>
                  <w:t>(1906), parodistically and self-reflexively deals with D</w:t>
                </w:r>
                <w:r>
                  <w:rPr>
                    <w:lang w:val="de-DE"/>
                  </w:rPr>
                  <w:t>öblin</w:t>
                </w:r>
                <w:r>
                  <w:t>’s role as author, but found little readership</w:t>
                </w:r>
                <w:r w:rsidRPr="0036050C">
                  <w:t xml:space="preserve">. </w:t>
                </w:r>
                <w:r>
                  <w:t xml:space="preserve">He married Erna Reiss in 1912, with </w:t>
                </w:r>
                <w:proofErr w:type="gramStart"/>
                <w:r>
                  <w:t>whom</w:t>
                </w:r>
                <w:proofErr w:type="gramEnd"/>
                <w:r>
                  <w:t xml:space="preserve"> he had four sons. He published a</w:t>
                </w:r>
                <w:r w:rsidRPr="0036050C">
                  <w:t xml:space="preserve"> collection of short stories </w:t>
                </w:r>
                <w:r>
                  <w:rPr>
                    <w:i/>
                  </w:rPr>
                  <w:t>Die Ermordung einer Butterblume</w:t>
                </w:r>
                <w:r w:rsidRPr="0036050C">
                  <w:t xml:space="preserve"> (</w:t>
                </w:r>
                <w:r w:rsidRPr="0036050C">
                  <w:rPr>
                    <w:i/>
                  </w:rPr>
                  <w:t>The Murder of a Buttercup</w:t>
                </w:r>
                <w:r w:rsidRPr="0036050C">
                  <w:t>) in 1913</w:t>
                </w:r>
                <w:r>
                  <w:t>. The title story features a salesman who absent-mindedly knocks the flower off a buttercup during a walk. His resulting fear of nature’s revenge for this misdeed (often read as a symbolic rape) escalates to neurotic levels. D</w:t>
                </w:r>
                <w:r>
                  <w:rPr>
                    <w:lang w:val="de-DE"/>
                  </w:rPr>
                  <w:t xml:space="preserve">öblin here </w:t>
                </w:r>
                <w:r>
                  <w:t>combined his literary talents with his medical training, which included training in psychiatry.</w:t>
                </w:r>
              </w:p>
            </w:tc>
          </w:sdtContent>
        </w:sdt>
      </w:tr>
      <w:tr w:rsidR="000C7767" w:rsidTr="003F0D73">
        <w:sdt>
          <w:sdtPr>
            <w:alias w:val="Abstract"/>
            <w:tag w:val="abstract"/>
            <w:id w:val="399178230"/>
            <w:placeholder>
              <w:docPart w:val="8263E1D5703B894C9FD168CDBF849EEC"/>
            </w:placeholder>
          </w:sdtPr>
          <w:sdtEndPr>
            <w:rPr>
              <w:b/>
              <w:color w:val="385623" w:themeColor="accent6" w:themeShade="80"/>
            </w:rPr>
          </w:sdtEndPr>
          <w:sdtContent>
            <w:tc>
              <w:tcPr>
                <w:tcW w:w="9016" w:type="dxa"/>
                <w:tcMar>
                  <w:top w:w="113" w:type="dxa"/>
                  <w:bottom w:w="113" w:type="dxa"/>
                </w:tcMar>
              </w:tcPr>
              <w:p w:rsidR="000C7767" w:rsidRPr="000C7767" w:rsidRDefault="000C7767" w:rsidP="000C7767">
                <w:r w:rsidRPr="000C7767">
                  <w:t xml:space="preserve">Alfred Döblin’s contributions to modern literature consist primarily of his montage style, epic narrative structures and critical eye toward contemporary culture. His masterpiece </w:t>
                </w:r>
                <w:r w:rsidRPr="000C7767">
                  <w:rPr>
                    <w:i/>
                  </w:rPr>
                  <w:t>Berlin Alexanderplatz. Die Geschichte vom Franz Biberkopf</w:t>
                </w:r>
                <w:r w:rsidRPr="000C7767">
                  <w:t xml:space="preserve"> (</w:t>
                </w:r>
                <w:r w:rsidRPr="000C7767">
                  <w:rPr>
                    <w:i/>
                  </w:rPr>
                  <w:t>Berlin Alexanderplatz. The Story of Franz Biberkopf</w:t>
                </w:r>
                <w:r w:rsidRPr="000C7767">
                  <w:t xml:space="preserve">) brought international acclaim and is often credited as the first German-language city novel. He was Jewish and thus fled the Nazi regime, settling in Hollywood for a time. He returned to Germany as a French Cultural Officer; however, he found Germany unwilling to cope with the recent past. Feeling out of place in Germany, he </w:t>
                </w:r>
                <w:proofErr w:type="gramStart"/>
                <w:r w:rsidRPr="000C7767">
                  <w:t>emigrated</w:t>
                </w:r>
                <w:proofErr w:type="gramEnd"/>
                <w:r w:rsidRPr="000C7767">
                  <w:t xml:space="preserve"> again in 1953 to France, and died in 1957.</w:t>
                </w:r>
              </w:p>
              <w:p w:rsidR="000C7767" w:rsidRDefault="000C7767" w:rsidP="000C7767"/>
              <w:p w:rsidR="002742CB" w:rsidRDefault="002742CB" w:rsidP="000C7767">
                <w:r>
                  <w:t>File: AlfredDöblin.jpg</w:t>
                </w:r>
              </w:p>
              <w:p w:rsidR="002742CB" w:rsidRPr="00F36937" w:rsidRDefault="002742CB" w:rsidP="002742CB">
                <w:pPr>
                  <w:pStyle w:val="Caption"/>
                </w:pPr>
                <w:r>
                  <w:t xml:space="preserve">Figure </w:t>
                </w:r>
                <w:fldSimple w:instr=" SEQ Figure \* ARABIC ">
                  <w:r>
                    <w:rPr>
                      <w:noProof/>
                    </w:rPr>
                    <w:t>1</w:t>
                  </w:r>
                </w:fldSimple>
                <w:r>
                  <w:t xml:space="preserve"> Alfred Döblin, photograph by Yolla Niclas, 1929.</w:t>
                </w:r>
              </w:p>
              <w:p w:rsidR="002742CB" w:rsidRPr="002742CB" w:rsidRDefault="002742CB" w:rsidP="002742CB">
                <w:pPr>
                  <w:pStyle w:val="CommentText"/>
                  <w:rPr>
                    <w:rFonts w:asciiTheme="minorHAnsi" w:hAnsiTheme="minorHAnsi"/>
                    <w:sz w:val="22"/>
                    <w:szCs w:val="22"/>
                  </w:rPr>
                </w:pPr>
                <w:r w:rsidRPr="002742CB">
                  <w:rPr>
                    <w:rFonts w:asciiTheme="minorHAnsi" w:hAnsiTheme="minorHAnsi"/>
                    <w:sz w:val="22"/>
                    <w:szCs w:val="22"/>
                  </w:rPr>
                  <w:t xml:space="preserve">Source: </w:t>
                </w:r>
                <w:r w:rsidRPr="002742CB">
                  <w:rPr>
                    <w:rFonts w:asciiTheme="minorHAnsi" w:hAnsiTheme="minorHAnsi"/>
                    <w:sz w:val="22"/>
                    <w:szCs w:val="22"/>
                    <w:lang w:val="de-DE"/>
                  </w:rPr>
                  <w:t xml:space="preserve">Meyer, Jochen. </w:t>
                </w:r>
                <w:r w:rsidRPr="002742CB">
                  <w:rPr>
                    <w:rFonts w:asciiTheme="minorHAnsi" w:hAnsiTheme="minorHAnsi"/>
                    <w:i/>
                    <w:sz w:val="22"/>
                    <w:szCs w:val="22"/>
                    <w:lang w:val="de-DE"/>
                  </w:rPr>
                  <w:t xml:space="preserve">Döblin </w:t>
                </w:r>
                <w:r w:rsidRPr="002742CB">
                  <w:rPr>
                    <w:rFonts w:asciiTheme="minorHAnsi" w:hAnsiTheme="minorHAnsi"/>
                    <w:i/>
                    <w:sz w:val="22"/>
                    <w:szCs w:val="22"/>
                  </w:rPr>
                  <w:t xml:space="preserve">1878-1978. </w:t>
                </w:r>
                <w:r w:rsidRPr="002742CB">
                  <w:rPr>
                    <w:rFonts w:asciiTheme="minorHAnsi" w:hAnsiTheme="minorHAnsi"/>
                    <w:sz w:val="22"/>
                    <w:szCs w:val="22"/>
                    <w:lang w:val="de-DE"/>
                  </w:rPr>
                  <w:t>Marbach am Neckar</w:t>
                </w:r>
                <w:r w:rsidRPr="002742CB">
                  <w:rPr>
                    <w:rFonts w:asciiTheme="minorHAnsi" w:hAnsiTheme="minorHAnsi"/>
                    <w:sz w:val="22"/>
                    <w:szCs w:val="22"/>
                  </w:rPr>
                  <w:t xml:space="preserve">: Deutsche Schillergesellschaft, 1998. Print. Page 32. Photograph by Yolla Niclas, 1929. </w:t>
                </w:r>
              </w:p>
              <w:p w:rsidR="002742CB" w:rsidRPr="002742CB" w:rsidRDefault="002742CB" w:rsidP="002742CB">
                <w:pPr>
                  <w:pStyle w:val="CommentText"/>
                  <w:rPr>
                    <w:rFonts w:asciiTheme="minorHAnsi" w:hAnsiTheme="minorHAnsi"/>
                    <w:sz w:val="22"/>
                    <w:szCs w:val="22"/>
                  </w:rPr>
                </w:pPr>
              </w:p>
              <w:p w:rsidR="002742CB" w:rsidRPr="002742CB" w:rsidRDefault="002742CB" w:rsidP="002742CB">
                <w:r w:rsidRPr="002742CB">
                  <w:lastRenderedPageBreak/>
                  <w:t>Image copyright held by Literaturarchiv Marbach. Contact person (as of 2 years ago) was Tanja Fengler-Veit, veit@dla-marbach.de</w:t>
                </w:r>
              </w:p>
              <w:p w:rsidR="002742CB" w:rsidRPr="000C7767" w:rsidRDefault="002742CB" w:rsidP="000C7767"/>
              <w:p w:rsidR="000C7767" w:rsidRDefault="000C7767" w:rsidP="000C7767">
                <w:r w:rsidRPr="000C7767">
                  <w:t xml:space="preserve">Döblin was born the fourth of five children in Szcecin (modern-day Poland). His father abandoned the family when Döblin was still young, motivating his mother to relocate to Berlin in 1888. He grew up in the working-class neighbourhoods and studied medicine. His first publication, </w:t>
                </w:r>
                <w:r w:rsidRPr="000C7767">
                  <w:rPr>
                    <w:i/>
                  </w:rPr>
                  <w:t xml:space="preserve">Lydia und Mäxchen </w:t>
                </w:r>
                <w:r w:rsidRPr="000C7767">
                  <w:t>(1906), parodistically and self-reflexively deals with D</w:t>
                </w:r>
                <w:r w:rsidRPr="000C7767">
                  <w:rPr>
                    <w:lang w:val="de-DE"/>
                  </w:rPr>
                  <w:t>öblin</w:t>
                </w:r>
                <w:r w:rsidRPr="000C7767">
                  <w:t xml:space="preserve">’s role as author, but found little readership. He married Erna Reiss in 1912, with </w:t>
                </w:r>
                <w:proofErr w:type="gramStart"/>
                <w:r w:rsidRPr="000C7767">
                  <w:t>whom</w:t>
                </w:r>
                <w:proofErr w:type="gramEnd"/>
                <w:r w:rsidRPr="000C7767">
                  <w:t xml:space="preserve"> he had four sons. He published a collection of short stories </w:t>
                </w:r>
                <w:r w:rsidRPr="000C7767">
                  <w:rPr>
                    <w:i/>
                  </w:rPr>
                  <w:t>Die Ermordung einer Butterblume</w:t>
                </w:r>
                <w:r w:rsidRPr="000C7767">
                  <w:t xml:space="preserve"> (</w:t>
                </w:r>
                <w:r w:rsidRPr="000C7767">
                  <w:rPr>
                    <w:i/>
                  </w:rPr>
                  <w:t>The Murder of a Buttercup</w:t>
                </w:r>
                <w:r w:rsidRPr="000C7767">
                  <w:t>) in 1913. The title story features a salesman who absent-mindedly knocks the flower off a buttercup during a walk. His resulting fear of nature’s revenge for this misdeed (often read as a symbolic rape) escalates to neurotic levels. D</w:t>
                </w:r>
                <w:r w:rsidRPr="000C7767">
                  <w:rPr>
                    <w:lang w:val="de-DE"/>
                  </w:rPr>
                  <w:t xml:space="preserve">öblin here </w:t>
                </w:r>
                <w:r w:rsidRPr="000C7767">
                  <w:t>combined his literary talents with his medical training, which included training in psychiatry.</w:t>
                </w:r>
              </w:p>
              <w:p w:rsidR="002742CB" w:rsidRDefault="002742CB" w:rsidP="000C7767"/>
              <w:p w:rsidR="002742CB" w:rsidRDefault="002742CB" w:rsidP="000C7767">
                <w:r>
                  <w:t>File: AlfredDöblinTimeline.jpg</w:t>
                </w:r>
              </w:p>
              <w:p w:rsidR="002742CB" w:rsidRPr="000C7767" w:rsidRDefault="002742CB" w:rsidP="000C7767">
                <w:r>
                  <w:t>Source: Contributor’s own, from MS Word text in original entry file.</w:t>
                </w:r>
              </w:p>
              <w:p w:rsidR="000C7767" w:rsidRPr="000C7767" w:rsidRDefault="000C7767" w:rsidP="000C7767"/>
              <w:p w:rsidR="000C7767" w:rsidRPr="000C7767" w:rsidRDefault="000C7767" w:rsidP="000C7767">
                <w:r w:rsidRPr="000C7767">
                  <w:t>In 1914 he signed with the prestigious S. Fischer publishing house. During the 1910s and 1920s, he developed his epic style, eschewing 19</w:t>
                </w:r>
                <w:r w:rsidRPr="000C7767">
                  <w:rPr>
                    <w:vertAlign w:val="superscript"/>
                  </w:rPr>
                  <w:t>th</w:t>
                </w:r>
                <w:r w:rsidRPr="000C7767">
                  <w:t xml:space="preserve"> century novelistic convention by relinquishing a focus on psychology to focus on larger events and social forces. He often set his novels in exotic locales and other historical periods to allow a certain alienation from and criticism of the present. This is demonstrated in his </w:t>
                </w:r>
                <w:r w:rsidRPr="000C7767">
                  <w:rPr>
                    <w:i/>
                  </w:rPr>
                  <w:t>Die drei Sprünge des Wang-Lung</w:t>
                </w:r>
                <w:r w:rsidRPr="000C7767">
                  <w:rPr>
                    <w:lang w:val="de-DE"/>
                  </w:rPr>
                  <w:t xml:space="preserve"> (</w:t>
                </w:r>
                <w:r w:rsidRPr="000C7767">
                  <w:rPr>
                    <w:i/>
                    <w:lang w:val="de-DE"/>
                  </w:rPr>
                  <w:t>The Three Leaps of Wang-Lung</w:t>
                </w:r>
                <w:r w:rsidRPr="000C7767">
                  <w:rPr>
                    <w:lang w:val="de-DE"/>
                  </w:rPr>
                  <w:t xml:space="preserve"> (1915)</w:t>
                </w:r>
                <w:r w:rsidRPr="000C7767">
                  <w:rPr>
                    <w:i/>
                    <w:lang w:val="de-DE"/>
                  </w:rPr>
                  <w:t xml:space="preserve">, </w:t>
                </w:r>
                <w:r w:rsidRPr="000C7767">
                  <w:rPr>
                    <w:lang w:val="de-DE"/>
                  </w:rPr>
                  <w:t>set in 18th century</w:t>
                </w:r>
                <w:r w:rsidRPr="000C7767">
                  <w:t xml:space="preserve"> China, which deals with violence and pacificism on individual and state levels. His </w:t>
                </w:r>
                <w:r w:rsidRPr="000C7767">
                  <w:rPr>
                    <w:i/>
                  </w:rPr>
                  <w:t>Wallenstein</w:t>
                </w:r>
                <w:r w:rsidRPr="000C7767">
                  <w:t xml:space="preserve"> (1920) ran against the grain of German historical novels by critiquing, not praising, the Thirty Years’ War. The novel treated violence as a series of interconnected events with little to no sense to bind them, and focused on events and masses as opposed to individuals. These and other exotic works by D</w:t>
                </w:r>
                <w:r w:rsidRPr="000C7767">
                  <w:rPr>
                    <w:lang w:val="de-DE"/>
                  </w:rPr>
                  <w:t>öblin</w:t>
                </w:r>
                <w:r w:rsidRPr="000C7767">
                  <w:t xml:space="preserve"> – such as </w:t>
                </w:r>
                <w:r w:rsidRPr="000C7767">
                  <w:rPr>
                    <w:i/>
                  </w:rPr>
                  <w:t>Babylonische Wanderungen</w:t>
                </w:r>
                <w:r w:rsidRPr="000C7767">
                  <w:t xml:space="preserve"> (1934) or his </w:t>
                </w:r>
                <w:r w:rsidRPr="000C7767">
                  <w:rPr>
                    <w:i/>
                  </w:rPr>
                  <w:t xml:space="preserve">Amazonas </w:t>
                </w:r>
                <w:r w:rsidRPr="000C7767">
                  <w:t>(1937-48) trilogy – often combine fantasy with D</w:t>
                </w:r>
                <w:r w:rsidRPr="000C7767">
                  <w:rPr>
                    <w:lang w:val="de-DE"/>
                  </w:rPr>
                  <w:t>öblin</w:t>
                </w:r>
                <w:r w:rsidRPr="000C7767">
                  <w:t xml:space="preserve">’s almost scientific style, and often include or were inspired by books on history, maps and other nonfiction sources. </w:t>
                </w:r>
              </w:p>
              <w:p w:rsidR="000C7767" w:rsidRPr="000C7767" w:rsidRDefault="000C7767" w:rsidP="000C7767"/>
              <w:p w:rsidR="000C7767" w:rsidRPr="000C7767" w:rsidRDefault="000C7767" w:rsidP="000C7767">
                <w:r w:rsidRPr="000C7767">
                  <w:t>Pogroms against Jews in 1923 sparked an interest in D</w:t>
                </w:r>
                <w:r w:rsidRPr="000C7767">
                  <w:rPr>
                    <w:lang w:val="de-DE"/>
                  </w:rPr>
                  <w:t>öblin</w:t>
                </w:r>
                <w:r w:rsidRPr="000C7767">
                  <w:t xml:space="preserve">’s Jewish heritage, culminating in a 1924 trip to Poland to visit Jewish communities there. The result was the travelogue </w:t>
                </w:r>
                <w:r w:rsidRPr="000C7767">
                  <w:rPr>
                    <w:i/>
                  </w:rPr>
                  <w:t xml:space="preserve">Reise in Polen </w:t>
                </w:r>
                <w:r w:rsidRPr="000C7767">
                  <w:t>(</w:t>
                </w:r>
                <w:r w:rsidRPr="000C7767">
                  <w:rPr>
                    <w:i/>
                  </w:rPr>
                  <w:t>Journey to Poland</w:t>
                </w:r>
                <w:r w:rsidRPr="000C7767">
                  <w:t>) (1925), in which D</w:t>
                </w:r>
                <w:r w:rsidRPr="000C7767">
                  <w:rPr>
                    <w:lang w:val="de-DE"/>
                  </w:rPr>
                  <w:t>öblin</w:t>
                </w:r>
                <w:r w:rsidRPr="000C7767">
                  <w:t xml:space="preserve"> charts his discovery of Jewish tradition, with which he was largely unfamiliar. (His interest in religion persisted throughout his life, and he converted to Catholicism in 1941.)</w:t>
                </w:r>
              </w:p>
              <w:p w:rsidR="000C7767" w:rsidRPr="000C7767" w:rsidRDefault="000C7767" w:rsidP="000C7767"/>
              <w:p w:rsidR="000C7767" w:rsidRDefault="000C7767" w:rsidP="000C7767">
                <w:r w:rsidRPr="000C7767">
                  <w:rPr>
                    <w:i/>
                  </w:rPr>
                  <w:t xml:space="preserve">Berlin Alexanderplatz </w:t>
                </w:r>
                <w:r w:rsidRPr="000C7767">
                  <w:t xml:space="preserve">(1929) brought immediate international acclaim and was a popular hit for Döblin, whose dense work is often challenging for readers. The novel renders Franz Biberkopf impotent against the economic and social hardships of Berlin. Including newspaper articles, postcards and other texts as well as a plurivocal narrative perspective, Döblin’s montage makes the novel a cacophony sights, sounds and narrators. It is a masterpiece of Döblin’s epic style (an attempt to recapture oral narrative structures unbounded by the limitations of print) and a modernist classic frequently compared to James Joyce’s </w:t>
                </w:r>
                <w:r w:rsidRPr="000C7767">
                  <w:rPr>
                    <w:i/>
                  </w:rPr>
                  <w:t>Ulysses</w:t>
                </w:r>
                <w:r w:rsidRPr="000C7767">
                  <w:t xml:space="preserve">. Often associated with New Objectivity, </w:t>
                </w:r>
                <w:r w:rsidRPr="000C7767">
                  <w:rPr>
                    <w:lang w:val="de-DE"/>
                  </w:rPr>
                  <w:t>Döblin</w:t>
                </w:r>
                <w:r w:rsidRPr="000C7767">
                  <w:t xml:space="preserve"> uses documentary sources to inform his highly realistic portrayal of social problems in this and other works such as </w:t>
                </w:r>
                <w:r w:rsidRPr="000C7767">
                  <w:rPr>
                    <w:i/>
                  </w:rPr>
                  <w:t>Die beiden Freundinnen und ihr Giftmord</w:t>
                </w:r>
                <w:r w:rsidRPr="000C7767">
                  <w:t xml:space="preserve"> (1924), a novelization based on court documents about a highly publicized double murder. Work on radio and film versions of </w:t>
                </w:r>
                <w:r w:rsidRPr="000C7767">
                  <w:rPr>
                    <w:i/>
                  </w:rPr>
                  <w:t xml:space="preserve">Berlin Alexanderplatz </w:t>
                </w:r>
                <w:r w:rsidRPr="000C7767">
                  <w:t>occupied Döblin for two years, yet the political climate exerted tremendous force on these projects. The radioplay was cancelled last minute due to pressure from right wing groups, and the 1931 film was sanitized of its political content.</w:t>
                </w:r>
              </w:p>
              <w:p w:rsidR="002742CB" w:rsidRDefault="002742CB" w:rsidP="000C7767"/>
              <w:p w:rsidR="002742CB" w:rsidRDefault="002742CB" w:rsidP="000C7767">
                <w:r>
                  <w:t>File: DöblinBerlinAlexanderplatz.jpg</w:t>
                </w:r>
              </w:p>
              <w:p w:rsidR="002742CB" w:rsidRPr="00F36937" w:rsidRDefault="002742CB" w:rsidP="002742CB">
                <w:pPr>
                  <w:pStyle w:val="Caption"/>
                </w:pPr>
                <w:r>
                  <w:lastRenderedPageBreak/>
                  <w:t xml:space="preserve">Figure </w:t>
                </w:r>
                <w:fldSimple w:instr=" SEQ Figure \* ARABIC ">
                  <w:r>
                    <w:rPr>
                      <w:noProof/>
                    </w:rPr>
                    <w:t>2</w:t>
                  </w:r>
                </w:fldSimple>
                <w:r>
                  <w:t xml:space="preserve"> </w:t>
                </w:r>
                <w:r w:rsidRPr="00C34E19">
                  <w:rPr>
                    <w:i/>
                  </w:rPr>
                  <w:t>Berlin Alexanderplatz</w:t>
                </w:r>
                <w:r>
                  <w:rPr>
                    <w:i/>
                  </w:rPr>
                  <w:t xml:space="preserve">, </w:t>
                </w:r>
                <w:r>
                  <w:t>1st Ed.</w:t>
                </w:r>
              </w:p>
              <w:p w:rsidR="002742CB" w:rsidRPr="002742CB" w:rsidRDefault="002742CB" w:rsidP="002742CB">
                <w:pPr>
                  <w:pStyle w:val="CommentText"/>
                  <w:rPr>
                    <w:rFonts w:asciiTheme="minorHAnsi" w:hAnsiTheme="minorHAnsi"/>
                    <w:sz w:val="22"/>
                    <w:szCs w:val="22"/>
                  </w:rPr>
                </w:pPr>
                <w:r w:rsidRPr="002742CB">
                  <w:rPr>
                    <w:rFonts w:asciiTheme="minorHAnsi" w:hAnsiTheme="minorHAnsi"/>
                    <w:sz w:val="22"/>
                    <w:szCs w:val="22"/>
                  </w:rPr>
                  <w:t xml:space="preserve">Source: Both images for Berlin Alex: rights available from the Literaturarchiv Marbach. </w:t>
                </w:r>
              </w:p>
              <w:p w:rsidR="002742CB" w:rsidRDefault="002742CB" w:rsidP="002742CB">
                <w:r w:rsidRPr="002742CB">
                  <w:t>Contact person (as of 2 years ago) was Tanja Fengler-Veit, veit@dla-marbach.de</w:t>
                </w:r>
              </w:p>
              <w:p w:rsidR="002742CB" w:rsidRDefault="002742CB" w:rsidP="002742CB"/>
              <w:p w:rsidR="002742CB" w:rsidRDefault="002742CB" w:rsidP="002742CB">
                <w:r>
                  <w:t>File: DöblinBerlinAlexanderplatzManuscript.jpg</w:t>
                </w:r>
              </w:p>
              <w:p w:rsidR="002742CB" w:rsidRPr="00F36937" w:rsidRDefault="002742CB" w:rsidP="002742CB">
                <w:pPr>
                  <w:pStyle w:val="Caption"/>
                </w:pPr>
                <w:r>
                  <w:t xml:space="preserve">Figure </w:t>
                </w:r>
                <w:fldSimple w:instr=" SEQ Figure \* ARABIC ">
                  <w:r>
                    <w:rPr>
                      <w:noProof/>
                    </w:rPr>
                    <w:t>3</w:t>
                  </w:r>
                </w:fldSimple>
                <w:r>
                  <w:t xml:space="preserve"> </w:t>
                </w:r>
                <w:r>
                  <w:rPr>
                    <w:i/>
                  </w:rPr>
                  <w:t>Berlin Alexanderplatz</w:t>
                </w:r>
                <w:r>
                  <w:t xml:space="preserve"> manuscript with inserted newspaper clippings.</w:t>
                </w:r>
              </w:p>
              <w:p w:rsidR="002742CB" w:rsidRPr="002742CB" w:rsidRDefault="002742CB" w:rsidP="002742CB">
                <w:pPr>
                  <w:pStyle w:val="CommentText"/>
                  <w:rPr>
                    <w:rFonts w:asciiTheme="minorHAnsi" w:hAnsiTheme="minorHAnsi"/>
                    <w:sz w:val="22"/>
                    <w:szCs w:val="22"/>
                  </w:rPr>
                </w:pPr>
                <w:r w:rsidRPr="002742CB">
                  <w:rPr>
                    <w:rFonts w:asciiTheme="minorHAnsi" w:hAnsiTheme="minorHAnsi"/>
                    <w:sz w:val="22"/>
                    <w:szCs w:val="22"/>
                  </w:rPr>
                  <w:t xml:space="preserve">Source: Source: Both images for Berlin Alex: rights available from the Literaturarchiv Marbach. </w:t>
                </w:r>
              </w:p>
              <w:p w:rsidR="002742CB" w:rsidRPr="002742CB" w:rsidRDefault="002742CB" w:rsidP="002742CB">
                <w:r w:rsidRPr="002742CB">
                  <w:t>Contact person (as of 2 years ago) was Tanja Fengler-Veit, veit@dla-marbach.de</w:t>
                </w:r>
                <w:bookmarkStart w:id="0" w:name="_GoBack"/>
                <w:bookmarkEnd w:id="0"/>
              </w:p>
              <w:p w:rsidR="000C7767" w:rsidRPr="000C7767" w:rsidRDefault="000C7767" w:rsidP="000C7767"/>
              <w:p w:rsidR="000C7767" w:rsidRPr="000C7767" w:rsidRDefault="000C7767" w:rsidP="000C7767">
                <w:r w:rsidRPr="000C7767">
                  <w:t xml:space="preserve">Hitler’s appointment as chancellor in 1933 forced Döblin and his family to flee Germany. Settling first in Paris, Döblin became a French citizen in 1936. In 1940 Döblin arrived in Los Angeles, where he secured a job as a writer for Metro-Goldwyn-Mayer, but found little success. His one-year contract with MGM resulted only in uncredited contributions to </w:t>
                </w:r>
                <w:r w:rsidRPr="000C7767">
                  <w:rPr>
                    <w:i/>
                  </w:rPr>
                  <w:t xml:space="preserve">Mrs. Miniver </w:t>
                </w:r>
                <w:r w:rsidRPr="000C7767">
                  <w:t xml:space="preserve">and </w:t>
                </w:r>
                <w:r w:rsidRPr="000C7767">
                  <w:rPr>
                    <w:i/>
                  </w:rPr>
                  <w:t>Random Harvest</w:t>
                </w:r>
                <w:r w:rsidRPr="000C7767">
                  <w:t xml:space="preserve"> (both 1942).</w:t>
                </w:r>
              </w:p>
              <w:p w:rsidR="000C7767" w:rsidRPr="000C7767" w:rsidRDefault="000C7767" w:rsidP="000C7767"/>
              <w:p w:rsidR="000C7767" w:rsidRPr="000C7767" w:rsidRDefault="000C7767" w:rsidP="000C7767">
                <w:r w:rsidRPr="000C7767">
                  <w:t xml:space="preserve">His tetralogy </w:t>
                </w:r>
                <w:r w:rsidRPr="000C7767">
                  <w:rPr>
                    <w:i/>
                  </w:rPr>
                  <w:t>November 1918</w:t>
                </w:r>
                <w:r w:rsidRPr="000C7767">
                  <w:t xml:space="preserve"> about the failed beginnings of the Weimar Republic occupied much of his time during exile, but he was only able to publish the first installment before the war. The rest of the volumes were published after the war. The tetralogy narrates the early and turbulent years of the Weimar Republic, and was again marked by D</w:t>
                </w:r>
                <w:r w:rsidRPr="000C7767">
                  <w:rPr>
                    <w:lang w:val="de-DE"/>
                  </w:rPr>
                  <w:t>öblin</w:t>
                </w:r>
                <w:r w:rsidRPr="000C7767">
                  <w:t>’s signature multimedial style in which he freely mixed documents from the era with personal memories.</w:t>
                </w:r>
              </w:p>
              <w:p w:rsidR="000C7767" w:rsidRPr="000C7767" w:rsidRDefault="000C7767" w:rsidP="000C7767"/>
              <w:p w:rsidR="000C7767" w:rsidRPr="000C7767" w:rsidRDefault="000C7767" w:rsidP="000C7767">
                <w:r w:rsidRPr="000C7767">
                  <w:t xml:space="preserve">Despite his declining health in the 1950s, it was his great desire to see his war novel </w:t>
                </w:r>
                <w:r w:rsidRPr="000C7767">
                  <w:rPr>
                    <w:i/>
                  </w:rPr>
                  <w:t>Hamlet, oder die lange Nacht nimmt ein Ende</w:t>
                </w:r>
                <w:r w:rsidRPr="000C7767">
                  <w:t xml:space="preserve"> (</w:t>
                </w:r>
                <w:r w:rsidRPr="000C7767">
                  <w:rPr>
                    <w:i/>
                  </w:rPr>
                  <w:t xml:space="preserve">Tales of a Long Night) </w:t>
                </w:r>
                <w:r w:rsidRPr="000C7767">
                  <w:t>(1956) published before his death. The novel tells the story of a returned soldier as he and his family struggle to heal his psychological wounds. A generational split is apparent, with the parents displaying guilt for being responsible for creating the war in which their son fought. The novel was published eight months before his death.</w:t>
                </w:r>
              </w:p>
              <w:p w:rsidR="000C7767" w:rsidRPr="000C7767" w:rsidRDefault="000C7767" w:rsidP="000C7767"/>
              <w:p w:rsidR="000C7767" w:rsidRPr="000C7767" w:rsidRDefault="000C7767" w:rsidP="000C7767">
                <w:r w:rsidRPr="000C7767">
                  <w:t xml:space="preserve"> In 1953, feeling there was ‘no air to </w:t>
                </w:r>
                <w:proofErr w:type="gramStart"/>
                <w:r w:rsidRPr="000C7767">
                  <w:t>breathe</w:t>
                </w:r>
                <w:proofErr w:type="gramEnd"/>
                <w:r w:rsidRPr="000C7767">
                  <w:t xml:space="preserve">’ in Germany, Döblin and his wife returned to Paris. He passed away in 1957 in hospital in Emmendingen, Germany. Reflecting his persistent feeling of dislocation in Germany and the German literary scene even in death, he was buried in Housseras, France. </w:t>
                </w:r>
              </w:p>
              <w:p w:rsidR="000C7767" w:rsidRPr="000C7767" w:rsidRDefault="000C7767" w:rsidP="000C7767">
                <w:pPr>
                  <w:rPr>
                    <w:lang w:val="de-DE"/>
                  </w:rPr>
                </w:pPr>
              </w:p>
              <w:p w:rsidR="000C7767" w:rsidRPr="000C7767" w:rsidRDefault="000C7767" w:rsidP="000C7767">
                <w:r w:rsidRPr="000C7767">
                  <w:rPr>
                    <w:lang w:val="de-DE"/>
                  </w:rPr>
                  <w:t>Döblin</w:t>
                </w:r>
                <w:r w:rsidRPr="000C7767">
                  <w:t xml:space="preserve">’s literary works, letters, autobiographical writings and other works have been collected and edited in </w:t>
                </w:r>
                <w:r w:rsidRPr="000C7767">
                  <w:rPr>
                    <w:i/>
                  </w:rPr>
                  <w:t>Ausgewählte Werke in Einzelbänden</w:t>
                </w:r>
                <w:r w:rsidRPr="000C7767">
                  <w:t xml:space="preserve"> (1961-2001), and include much of his non-literary output – speeches given and publications in periodicals, which often focus on aesthetic and theoretical explanations of D</w:t>
                </w:r>
                <w:r w:rsidRPr="000C7767">
                  <w:rPr>
                    <w:lang w:val="de-DE"/>
                  </w:rPr>
                  <w:t>öblin</w:t>
                </w:r>
                <w:r w:rsidRPr="000C7767">
                  <w:t>’s style.</w:t>
                </w:r>
              </w:p>
              <w:p w:rsidR="000C7767" w:rsidRPr="000C7767" w:rsidRDefault="000C7767" w:rsidP="000C7767"/>
              <w:p w:rsidR="000C7767" w:rsidRPr="000C7767" w:rsidRDefault="000C7767" w:rsidP="000C7767">
                <w:pPr>
                  <w:pStyle w:val="Authornote"/>
                </w:pPr>
                <w:r w:rsidRPr="000C7767">
                  <w:t>Key Works</w:t>
                </w:r>
              </w:p>
              <w:p w:rsidR="000C7767" w:rsidRPr="000C7767" w:rsidRDefault="000C7767" w:rsidP="000C7767">
                <w:pPr>
                  <w:pStyle w:val="Authornote"/>
                  <w:rPr>
                    <w:lang w:val="de-DE"/>
                  </w:rPr>
                </w:pPr>
                <w:r w:rsidRPr="000C7767">
                  <w:t xml:space="preserve">* </w:t>
                </w:r>
                <w:r w:rsidRPr="000C7767">
                  <w:rPr>
                    <w:i/>
                  </w:rPr>
                  <w:t>Ausgew</w:t>
                </w:r>
                <w:r w:rsidRPr="000C7767">
                  <w:rPr>
                    <w:i/>
                    <w:lang w:val="de-DE"/>
                  </w:rPr>
                  <w:t>ählte Werke in Einzelbänden</w:t>
                </w:r>
                <w:r w:rsidRPr="000C7767">
                  <w:rPr>
                    <w:lang w:val="de-DE"/>
                  </w:rPr>
                  <w:t xml:space="preserve"> </w:t>
                </w:r>
                <w:r w:rsidRPr="000C7767">
                  <w:t xml:space="preserve">(1960—2007. Originally published by the Olten Verlag. In 2008 the project transferred to S. Fischer Verlag).  </w:t>
                </w:r>
              </w:p>
              <w:p w:rsidR="000C7767" w:rsidRPr="000C7767" w:rsidRDefault="000C7767" w:rsidP="000C7767">
                <w:pPr>
                  <w:pStyle w:val="Authornote"/>
                </w:pPr>
                <w:r w:rsidRPr="000C7767">
                  <w:t xml:space="preserve">* </w:t>
                </w:r>
                <w:r w:rsidRPr="000C7767">
                  <w:rPr>
                    <w:i/>
                  </w:rPr>
                  <w:t>Die Ermordung einer Butterblume und andere Er</w:t>
                </w:r>
                <w:r w:rsidRPr="000C7767">
                  <w:rPr>
                    <w:i/>
                    <w:lang w:val="de-DE"/>
                  </w:rPr>
                  <w:t>zählungen</w:t>
                </w:r>
                <w:r w:rsidRPr="000C7767">
                  <w:rPr>
                    <w:i/>
                  </w:rPr>
                  <w:t xml:space="preserve"> </w:t>
                </w:r>
                <w:r w:rsidRPr="000C7767">
                  <w:t>(1913)</w:t>
                </w:r>
              </w:p>
              <w:p w:rsidR="000C7767" w:rsidRPr="000C7767" w:rsidRDefault="000C7767" w:rsidP="000C7767">
                <w:pPr>
                  <w:pStyle w:val="Authornote"/>
                  <w:rPr>
                    <w:i/>
                  </w:rPr>
                </w:pPr>
                <w:r w:rsidRPr="000C7767">
                  <w:t xml:space="preserve">* </w:t>
                </w:r>
                <w:r w:rsidRPr="000C7767">
                  <w:rPr>
                    <w:i/>
                  </w:rPr>
                  <w:t>Die drei Spr</w:t>
                </w:r>
                <w:r w:rsidRPr="000C7767">
                  <w:rPr>
                    <w:i/>
                    <w:lang w:val="de-DE"/>
                  </w:rPr>
                  <w:t>ünge des Wang-Lun</w:t>
                </w:r>
                <w:r w:rsidRPr="000C7767">
                  <w:t xml:space="preserve"> (1915, translated as </w:t>
                </w:r>
                <w:r w:rsidRPr="000C7767">
                  <w:rPr>
                    <w:i/>
                  </w:rPr>
                  <w:t>The Three Leaps of Wang-Lun,</w:t>
                </w:r>
                <w:r w:rsidRPr="000C7767">
                  <w:t xml:space="preserve"> 1991)</w:t>
                </w:r>
              </w:p>
              <w:p w:rsidR="000C7767" w:rsidRPr="000C7767" w:rsidRDefault="000C7767" w:rsidP="000C7767">
                <w:pPr>
                  <w:pStyle w:val="Authornote"/>
                </w:pPr>
                <w:r w:rsidRPr="000C7767">
                  <w:rPr>
                    <w:i/>
                  </w:rPr>
                  <w:t>* Berlin Alexanderplatz. Die Geschichte vom Franz Biberkopf</w:t>
                </w:r>
                <w:r w:rsidRPr="000C7767">
                  <w:t xml:space="preserve"> (1929, translated as </w:t>
                </w:r>
                <w:r w:rsidRPr="000C7767">
                  <w:rPr>
                    <w:i/>
                  </w:rPr>
                  <w:t>Berlin Alexanderplatz. The Story of Franz Biberkopf</w:t>
                </w:r>
                <w:r w:rsidRPr="000C7767">
                  <w:t>, 1931)</w:t>
                </w:r>
              </w:p>
              <w:p w:rsidR="000C7767" w:rsidRDefault="000C7767" w:rsidP="000C7767">
                <w:pPr>
                  <w:pStyle w:val="Authornote"/>
                </w:pPr>
                <w:r w:rsidRPr="000C7767">
                  <w:t xml:space="preserve">* </w:t>
                </w:r>
                <w:r w:rsidRPr="000C7767">
                  <w:rPr>
                    <w:i/>
                  </w:rPr>
                  <w:t xml:space="preserve">Hamlet. Oder die lange Nacht nimmt ein Ende </w:t>
                </w:r>
                <w:r w:rsidRPr="000C7767">
                  <w:t xml:space="preserve">(1956, translated as </w:t>
                </w:r>
                <w:r w:rsidRPr="000C7767">
                  <w:rPr>
                    <w:i/>
                  </w:rPr>
                  <w:t>Tales of a Long Night</w:t>
                </w:r>
                <w:r w:rsidRPr="000C7767">
                  <w:t>, 1984)</w:t>
                </w:r>
              </w:p>
            </w:tc>
          </w:sdtContent>
        </w:sdt>
      </w:tr>
      <w:tr w:rsidR="000C7767" w:rsidTr="003235A7">
        <w:tc>
          <w:tcPr>
            <w:tcW w:w="9016" w:type="dxa"/>
          </w:tcPr>
          <w:p w:rsidR="000C7767" w:rsidRDefault="000C7767" w:rsidP="008A5B87">
            <w:r w:rsidRPr="0015114C">
              <w:rPr>
                <w:u w:val="single"/>
              </w:rPr>
              <w:lastRenderedPageBreak/>
              <w:t>Further reading</w:t>
            </w:r>
            <w:r>
              <w:t>:</w:t>
            </w:r>
          </w:p>
          <w:sdt>
            <w:sdtPr>
              <w:alias w:val="Further reading"/>
              <w:tag w:val="furtherReading"/>
              <w:id w:val="-1516217107"/>
              <w:placeholder>
                <w:docPart w:val="5343904510E89E4ABC33001180703276"/>
              </w:placeholder>
            </w:sdtPr>
            <w:sdtContent>
              <w:p w:rsidR="000C7767" w:rsidRDefault="000C7767" w:rsidP="000C7767"/>
              <w:p w:rsidR="000C7767" w:rsidRDefault="000C7767" w:rsidP="000C7767">
                <w:sdt>
                  <w:sdtPr>
                    <w:id w:val="2019804154"/>
                    <w:citation/>
                  </w:sdtPr>
                  <w:sdtContent>
                    <w:r>
                      <w:fldChar w:fldCharType="begin"/>
                    </w:r>
                    <w:r>
                      <w:rPr>
                        <w:lang w:val="en-US"/>
                      </w:rPr>
                      <w:instrText xml:space="preserve"> CITATION Dol04 \l 1033 </w:instrText>
                    </w:r>
                    <w:r>
                      <w:fldChar w:fldCharType="separate"/>
                    </w:r>
                    <w:r>
                      <w:rPr>
                        <w:noProof/>
                        <w:lang w:val="en-US"/>
                      </w:rPr>
                      <w:t>(Dollinger, Köpke and Thomann Tewarson)</w:t>
                    </w:r>
                    <w:r>
                      <w:fldChar w:fldCharType="end"/>
                    </w:r>
                  </w:sdtContent>
                </w:sdt>
              </w:p>
              <w:p w:rsidR="000C7767" w:rsidRDefault="000C7767" w:rsidP="000C7767"/>
              <w:p w:rsidR="000C7767" w:rsidRDefault="000C7767" w:rsidP="000C7767">
                <w:sdt>
                  <w:sdtPr>
                    <w:id w:val="-1381012398"/>
                    <w:citation/>
                  </w:sdtPr>
                  <w:sdtContent>
                    <w:r>
                      <w:fldChar w:fldCharType="begin"/>
                    </w:r>
                    <w:r>
                      <w:rPr>
                        <w:lang w:val="en-US"/>
                      </w:rPr>
                      <w:instrText xml:space="preserve"> CITATION Köp03 \l 1033 </w:instrText>
                    </w:r>
                    <w:r>
                      <w:fldChar w:fldCharType="separate"/>
                    </w:r>
                    <w:r>
                      <w:rPr>
                        <w:noProof/>
                        <w:lang w:val="en-US"/>
                      </w:rPr>
                      <w:t>(Köpke)</w:t>
                    </w:r>
                    <w:r>
                      <w:fldChar w:fldCharType="end"/>
                    </w:r>
                  </w:sdtContent>
                </w:sdt>
              </w:p>
              <w:p w:rsidR="000C7767" w:rsidRDefault="000C7767" w:rsidP="000C7767"/>
              <w:p w:rsidR="000C7767" w:rsidRDefault="000C7767" w:rsidP="000C7767">
                <w:sdt>
                  <w:sdtPr>
                    <w:id w:val="-888571980"/>
                    <w:citation/>
                  </w:sdtPr>
                  <w:sdtContent>
                    <w:r>
                      <w:fldChar w:fldCharType="begin"/>
                    </w:r>
                    <w:r>
                      <w:rPr>
                        <w:lang w:val="en-US"/>
                      </w:rPr>
                      <w:instrText xml:space="preserve"> CITATION Kor74 \l 1033 </w:instrText>
                    </w:r>
                    <w:r>
                      <w:fldChar w:fldCharType="separate"/>
                    </w:r>
                    <w:r>
                      <w:rPr>
                        <w:noProof/>
                        <w:lang w:val="en-US"/>
                      </w:rPr>
                      <w:t>(Kort)</w:t>
                    </w:r>
                    <w:r>
                      <w:fldChar w:fldCharType="end"/>
                    </w:r>
                  </w:sdtContent>
                </w:sdt>
              </w:p>
              <w:p w:rsidR="000C7767" w:rsidRDefault="000C7767" w:rsidP="000C7767"/>
              <w:p w:rsidR="000C7767" w:rsidRDefault="000C7767" w:rsidP="002742CB">
                <w:pPr>
                  <w:keepNext/>
                </w:pPr>
                <w:sdt>
                  <w:sdtPr>
                    <w:id w:val="-8608007"/>
                    <w:citation/>
                  </w:sdtPr>
                  <w:sdtContent>
                    <w:r>
                      <w:fldChar w:fldCharType="begin"/>
                    </w:r>
                    <w:r>
                      <w:rPr>
                        <w:lang w:val="en-US"/>
                      </w:rPr>
                      <w:instrText xml:space="preserve"> CITATION San01 \l 1033 </w:instrText>
                    </w:r>
                    <w:r>
                      <w:fldChar w:fldCharType="separate"/>
                    </w:r>
                    <w:r>
                      <w:rPr>
                        <w:noProof/>
                        <w:lang w:val="en-US"/>
                      </w:rPr>
                      <w:t>(Sander)</w:t>
                    </w:r>
                    <w:r>
                      <w:fldChar w:fldCharType="end"/>
                    </w:r>
                  </w:sdtContent>
                </w:sdt>
              </w:p>
            </w:sdtContent>
          </w:sdt>
        </w:tc>
      </w:tr>
    </w:tbl>
    <w:p w:rsidR="00C27FAB" w:rsidRPr="00F36937" w:rsidRDefault="00C27FAB" w:rsidP="002742CB">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2CB" w:rsidRDefault="002742CB" w:rsidP="007A0D55">
      <w:pPr>
        <w:spacing w:after="0" w:line="240" w:lineRule="auto"/>
      </w:pPr>
      <w:r>
        <w:separator/>
      </w:r>
    </w:p>
  </w:endnote>
  <w:endnote w:type="continuationSeparator" w:id="0">
    <w:p w:rsidR="002742CB" w:rsidRDefault="002742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2CB" w:rsidRDefault="002742CB" w:rsidP="007A0D55">
      <w:pPr>
        <w:spacing w:after="0" w:line="240" w:lineRule="auto"/>
      </w:pPr>
      <w:r>
        <w:separator/>
      </w:r>
    </w:p>
  </w:footnote>
  <w:footnote w:type="continuationSeparator" w:id="0">
    <w:p w:rsidR="002742CB" w:rsidRDefault="002742C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2CB" w:rsidRDefault="002742C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2742CB" w:rsidRDefault="002742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767"/>
    <w:rsid w:val="00032559"/>
    <w:rsid w:val="00052040"/>
    <w:rsid w:val="000B25AE"/>
    <w:rsid w:val="000B55AB"/>
    <w:rsid w:val="000C7767"/>
    <w:rsid w:val="000D24DC"/>
    <w:rsid w:val="00101B2E"/>
    <w:rsid w:val="00116FA0"/>
    <w:rsid w:val="0015114C"/>
    <w:rsid w:val="001A21F3"/>
    <w:rsid w:val="001A2537"/>
    <w:rsid w:val="001A6A06"/>
    <w:rsid w:val="00210C03"/>
    <w:rsid w:val="002162E2"/>
    <w:rsid w:val="00225C5A"/>
    <w:rsid w:val="00230B10"/>
    <w:rsid w:val="00234353"/>
    <w:rsid w:val="00244BB0"/>
    <w:rsid w:val="002742CB"/>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77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7767"/>
    <w:rPr>
      <w:rFonts w:ascii="Lucida Grande" w:hAnsi="Lucida Grande" w:cs="Lucida Grande"/>
      <w:sz w:val="18"/>
      <w:szCs w:val="18"/>
    </w:rPr>
  </w:style>
  <w:style w:type="paragraph" w:styleId="Caption">
    <w:name w:val="caption"/>
    <w:basedOn w:val="Normal"/>
    <w:next w:val="Normal"/>
    <w:uiPriority w:val="35"/>
    <w:semiHidden/>
    <w:qFormat/>
    <w:rsid w:val="002742CB"/>
    <w:pPr>
      <w:spacing w:after="200" w:line="240" w:lineRule="auto"/>
    </w:pPr>
    <w:rPr>
      <w:b/>
      <w:bCs/>
      <w:color w:val="5B9BD5" w:themeColor="accent1"/>
      <w:sz w:val="18"/>
      <w:szCs w:val="18"/>
    </w:rPr>
  </w:style>
  <w:style w:type="paragraph" w:styleId="CommentText">
    <w:name w:val="annotation text"/>
    <w:basedOn w:val="Normal"/>
    <w:link w:val="CommentTextChar"/>
    <w:uiPriority w:val="99"/>
    <w:semiHidden/>
    <w:unhideWhenUsed/>
    <w:rsid w:val="002742CB"/>
    <w:pPr>
      <w:spacing w:after="0" w:line="240" w:lineRule="auto"/>
    </w:pPr>
    <w:rPr>
      <w:rFonts w:ascii="Times" w:hAnsi="Times"/>
      <w:sz w:val="24"/>
      <w:szCs w:val="24"/>
      <w:lang w:val="en-US"/>
    </w:rPr>
  </w:style>
  <w:style w:type="character" w:customStyle="1" w:styleId="CommentTextChar">
    <w:name w:val="Comment Text Char"/>
    <w:basedOn w:val="DefaultParagraphFont"/>
    <w:link w:val="CommentText"/>
    <w:uiPriority w:val="99"/>
    <w:semiHidden/>
    <w:rsid w:val="002742CB"/>
    <w:rPr>
      <w:rFonts w:ascii="Times" w:hAnsi="Times"/>
      <w:sz w:val="24"/>
      <w:szCs w:val="24"/>
      <w:lang w:val="en-US"/>
    </w:rPr>
  </w:style>
  <w:style w:type="character" w:styleId="Hyperlink">
    <w:name w:val="Hyperlink"/>
    <w:basedOn w:val="DefaultParagraphFont"/>
    <w:uiPriority w:val="99"/>
    <w:unhideWhenUsed/>
    <w:rsid w:val="002742C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77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7767"/>
    <w:rPr>
      <w:rFonts w:ascii="Lucida Grande" w:hAnsi="Lucida Grande" w:cs="Lucida Grande"/>
      <w:sz w:val="18"/>
      <w:szCs w:val="18"/>
    </w:rPr>
  </w:style>
  <w:style w:type="paragraph" w:styleId="Caption">
    <w:name w:val="caption"/>
    <w:basedOn w:val="Normal"/>
    <w:next w:val="Normal"/>
    <w:uiPriority w:val="35"/>
    <w:semiHidden/>
    <w:qFormat/>
    <w:rsid w:val="002742CB"/>
    <w:pPr>
      <w:spacing w:after="200" w:line="240" w:lineRule="auto"/>
    </w:pPr>
    <w:rPr>
      <w:b/>
      <w:bCs/>
      <w:color w:val="5B9BD5" w:themeColor="accent1"/>
      <w:sz w:val="18"/>
      <w:szCs w:val="18"/>
    </w:rPr>
  </w:style>
  <w:style w:type="paragraph" w:styleId="CommentText">
    <w:name w:val="annotation text"/>
    <w:basedOn w:val="Normal"/>
    <w:link w:val="CommentTextChar"/>
    <w:uiPriority w:val="99"/>
    <w:semiHidden/>
    <w:unhideWhenUsed/>
    <w:rsid w:val="002742CB"/>
    <w:pPr>
      <w:spacing w:after="0" w:line="240" w:lineRule="auto"/>
    </w:pPr>
    <w:rPr>
      <w:rFonts w:ascii="Times" w:hAnsi="Times"/>
      <w:sz w:val="24"/>
      <w:szCs w:val="24"/>
      <w:lang w:val="en-US"/>
    </w:rPr>
  </w:style>
  <w:style w:type="character" w:customStyle="1" w:styleId="CommentTextChar">
    <w:name w:val="Comment Text Char"/>
    <w:basedOn w:val="DefaultParagraphFont"/>
    <w:link w:val="CommentText"/>
    <w:uiPriority w:val="99"/>
    <w:semiHidden/>
    <w:rsid w:val="002742CB"/>
    <w:rPr>
      <w:rFonts w:ascii="Times" w:hAnsi="Times"/>
      <w:sz w:val="24"/>
      <w:szCs w:val="24"/>
      <w:lang w:val="en-US"/>
    </w:rPr>
  </w:style>
  <w:style w:type="character" w:styleId="Hyperlink">
    <w:name w:val="Hyperlink"/>
    <w:basedOn w:val="DefaultParagraphFont"/>
    <w:uiPriority w:val="99"/>
    <w:unhideWhenUsed/>
    <w:rsid w:val="002742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ECC4586EF5A142828D11C848CF5A05"/>
        <w:category>
          <w:name w:val="General"/>
          <w:gallery w:val="placeholder"/>
        </w:category>
        <w:types>
          <w:type w:val="bbPlcHdr"/>
        </w:types>
        <w:behaviors>
          <w:behavior w:val="content"/>
        </w:behaviors>
        <w:guid w:val="{8D5B7588-6C3B-5449-B6AA-65EE7BE857D3}"/>
      </w:docPartPr>
      <w:docPartBody>
        <w:p w:rsidR="003106D9" w:rsidRDefault="003106D9">
          <w:pPr>
            <w:pStyle w:val="C5ECC4586EF5A142828D11C848CF5A05"/>
          </w:pPr>
          <w:r w:rsidRPr="00CC586D">
            <w:rPr>
              <w:rStyle w:val="PlaceholderText"/>
              <w:b/>
              <w:color w:val="FFFFFF" w:themeColor="background1"/>
            </w:rPr>
            <w:t>[Salutation]</w:t>
          </w:r>
        </w:p>
      </w:docPartBody>
    </w:docPart>
    <w:docPart>
      <w:docPartPr>
        <w:name w:val="F75DD9299A6ED442BF09F607D7CB6FC5"/>
        <w:category>
          <w:name w:val="General"/>
          <w:gallery w:val="placeholder"/>
        </w:category>
        <w:types>
          <w:type w:val="bbPlcHdr"/>
        </w:types>
        <w:behaviors>
          <w:behavior w:val="content"/>
        </w:behaviors>
        <w:guid w:val="{1A35FE88-D23E-5741-85BE-E4FE007E4EE8}"/>
      </w:docPartPr>
      <w:docPartBody>
        <w:p w:rsidR="003106D9" w:rsidRDefault="003106D9">
          <w:pPr>
            <w:pStyle w:val="F75DD9299A6ED442BF09F607D7CB6FC5"/>
          </w:pPr>
          <w:r>
            <w:rPr>
              <w:rStyle w:val="PlaceholderText"/>
            </w:rPr>
            <w:t>[First name]</w:t>
          </w:r>
        </w:p>
      </w:docPartBody>
    </w:docPart>
    <w:docPart>
      <w:docPartPr>
        <w:name w:val="DDF25F7A650D624BB8A55D09694577B2"/>
        <w:category>
          <w:name w:val="General"/>
          <w:gallery w:val="placeholder"/>
        </w:category>
        <w:types>
          <w:type w:val="bbPlcHdr"/>
        </w:types>
        <w:behaviors>
          <w:behavior w:val="content"/>
        </w:behaviors>
        <w:guid w:val="{46ABE50F-D8FE-694E-AA90-14E920E56015}"/>
      </w:docPartPr>
      <w:docPartBody>
        <w:p w:rsidR="003106D9" w:rsidRDefault="003106D9">
          <w:pPr>
            <w:pStyle w:val="DDF25F7A650D624BB8A55D09694577B2"/>
          </w:pPr>
          <w:r>
            <w:rPr>
              <w:rStyle w:val="PlaceholderText"/>
            </w:rPr>
            <w:t>[Middle name]</w:t>
          </w:r>
        </w:p>
      </w:docPartBody>
    </w:docPart>
    <w:docPart>
      <w:docPartPr>
        <w:name w:val="9653CEA01EE92A4C958FED57DF8BEB36"/>
        <w:category>
          <w:name w:val="General"/>
          <w:gallery w:val="placeholder"/>
        </w:category>
        <w:types>
          <w:type w:val="bbPlcHdr"/>
        </w:types>
        <w:behaviors>
          <w:behavior w:val="content"/>
        </w:behaviors>
        <w:guid w:val="{CFBE030F-D7E7-4548-9D30-F61989756E56}"/>
      </w:docPartPr>
      <w:docPartBody>
        <w:p w:rsidR="003106D9" w:rsidRDefault="003106D9">
          <w:pPr>
            <w:pStyle w:val="9653CEA01EE92A4C958FED57DF8BEB36"/>
          </w:pPr>
          <w:r>
            <w:rPr>
              <w:rStyle w:val="PlaceholderText"/>
            </w:rPr>
            <w:t>[Last name]</w:t>
          </w:r>
        </w:p>
      </w:docPartBody>
    </w:docPart>
    <w:docPart>
      <w:docPartPr>
        <w:name w:val="F283EC73FBA4CD409DE3EDF458AE9B88"/>
        <w:category>
          <w:name w:val="General"/>
          <w:gallery w:val="placeholder"/>
        </w:category>
        <w:types>
          <w:type w:val="bbPlcHdr"/>
        </w:types>
        <w:behaviors>
          <w:behavior w:val="content"/>
        </w:behaviors>
        <w:guid w:val="{9A29E9E6-BAE9-F647-B8C5-F0764E91FDD2}"/>
      </w:docPartPr>
      <w:docPartBody>
        <w:p w:rsidR="003106D9" w:rsidRDefault="003106D9">
          <w:pPr>
            <w:pStyle w:val="F283EC73FBA4CD409DE3EDF458AE9B88"/>
          </w:pPr>
          <w:r>
            <w:rPr>
              <w:rStyle w:val="PlaceholderText"/>
            </w:rPr>
            <w:t>[Enter your biography]</w:t>
          </w:r>
        </w:p>
      </w:docPartBody>
    </w:docPart>
    <w:docPart>
      <w:docPartPr>
        <w:name w:val="5260AD420649364B87330CB2164F3BB4"/>
        <w:category>
          <w:name w:val="General"/>
          <w:gallery w:val="placeholder"/>
        </w:category>
        <w:types>
          <w:type w:val="bbPlcHdr"/>
        </w:types>
        <w:behaviors>
          <w:behavior w:val="content"/>
        </w:behaviors>
        <w:guid w:val="{DEA73539-D840-9C4B-961C-AFFD48605853}"/>
      </w:docPartPr>
      <w:docPartBody>
        <w:p w:rsidR="003106D9" w:rsidRDefault="003106D9">
          <w:pPr>
            <w:pStyle w:val="5260AD420649364B87330CB2164F3BB4"/>
          </w:pPr>
          <w:r>
            <w:rPr>
              <w:rStyle w:val="PlaceholderText"/>
            </w:rPr>
            <w:t>[Enter the institution with which you are affiliated]</w:t>
          </w:r>
        </w:p>
      </w:docPartBody>
    </w:docPart>
    <w:docPart>
      <w:docPartPr>
        <w:name w:val="AFFBCC2918AAC348BD6DEBC9FBC6D63F"/>
        <w:category>
          <w:name w:val="General"/>
          <w:gallery w:val="placeholder"/>
        </w:category>
        <w:types>
          <w:type w:val="bbPlcHdr"/>
        </w:types>
        <w:behaviors>
          <w:behavior w:val="content"/>
        </w:behaviors>
        <w:guid w:val="{DE279932-5400-2C45-AA11-BEBB0C0677D3}"/>
      </w:docPartPr>
      <w:docPartBody>
        <w:p w:rsidR="003106D9" w:rsidRDefault="003106D9">
          <w:pPr>
            <w:pStyle w:val="AFFBCC2918AAC348BD6DEBC9FBC6D63F"/>
          </w:pPr>
          <w:r w:rsidRPr="00EF74F7">
            <w:rPr>
              <w:b/>
              <w:color w:val="808080" w:themeColor="background1" w:themeShade="80"/>
            </w:rPr>
            <w:t>[Enter the headword for your article]</w:t>
          </w:r>
        </w:p>
      </w:docPartBody>
    </w:docPart>
    <w:docPart>
      <w:docPartPr>
        <w:name w:val="2594E30A7F3A81448299B386A126F852"/>
        <w:category>
          <w:name w:val="General"/>
          <w:gallery w:val="placeholder"/>
        </w:category>
        <w:types>
          <w:type w:val="bbPlcHdr"/>
        </w:types>
        <w:behaviors>
          <w:behavior w:val="content"/>
        </w:behaviors>
        <w:guid w:val="{F4A8917A-90B3-2543-A81B-6F9F056F430F}"/>
      </w:docPartPr>
      <w:docPartBody>
        <w:p w:rsidR="003106D9" w:rsidRDefault="003106D9">
          <w:pPr>
            <w:pStyle w:val="2594E30A7F3A81448299B386A126F85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6572A60371724D896F268D378A16EC"/>
        <w:category>
          <w:name w:val="General"/>
          <w:gallery w:val="placeholder"/>
        </w:category>
        <w:types>
          <w:type w:val="bbPlcHdr"/>
        </w:types>
        <w:behaviors>
          <w:behavior w:val="content"/>
        </w:behaviors>
        <w:guid w:val="{D100FC06-EA76-EA48-A85E-CC56556D6FE1}"/>
      </w:docPartPr>
      <w:docPartBody>
        <w:p w:rsidR="003106D9" w:rsidRDefault="003106D9">
          <w:pPr>
            <w:pStyle w:val="056572A60371724D896F268D378A16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263E1D5703B894C9FD168CDBF849EEC"/>
        <w:category>
          <w:name w:val="General"/>
          <w:gallery w:val="placeholder"/>
        </w:category>
        <w:types>
          <w:type w:val="bbPlcHdr"/>
        </w:types>
        <w:behaviors>
          <w:behavior w:val="content"/>
        </w:behaviors>
        <w:guid w:val="{91F9EEE2-CEF9-D244-8B7C-3F85733E4FEA}"/>
      </w:docPartPr>
      <w:docPartBody>
        <w:p w:rsidR="003106D9" w:rsidRDefault="003106D9" w:rsidP="003106D9">
          <w:pPr>
            <w:pStyle w:val="8263E1D5703B894C9FD168CDBF849E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43904510E89E4ABC33001180703276"/>
        <w:category>
          <w:name w:val="General"/>
          <w:gallery w:val="placeholder"/>
        </w:category>
        <w:types>
          <w:type w:val="bbPlcHdr"/>
        </w:types>
        <w:behaviors>
          <w:behavior w:val="content"/>
        </w:behaviors>
        <w:guid w:val="{2B1BC16B-7BF5-7B43-9564-049C0B0E567B}"/>
      </w:docPartPr>
      <w:docPartBody>
        <w:p w:rsidR="003106D9" w:rsidRDefault="003106D9" w:rsidP="003106D9">
          <w:pPr>
            <w:pStyle w:val="5343904510E89E4ABC3300118070327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6D9"/>
    <w:rsid w:val="003106D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6D9"/>
    <w:rPr>
      <w:color w:val="808080"/>
    </w:rPr>
  </w:style>
  <w:style w:type="paragraph" w:customStyle="1" w:styleId="C5ECC4586EF5A142828D11C848CF5A05">
    <w:name w:val="C5ECC4586EF5A142828D11C848CF5A05"/>
  </w:style>
  <w:style w:type="paragraph" w:customStyle="1" w:styleId="F75DD9299A6ED442BF09F607D7CB6FC5">
    <w:name w:val="F75DD9299A6ED442BF09F607D7CB6FC5"/>
  </w:style>
  <w:style w:type="paragraph" w:customStyle="1" w:styleId="DDF25F7A650D624BB8A55D09694577B2">
    <w:name w:val="DDF25F7A650D624BB8A55D09694577B2"/>
  </w:style>
  <w:style w:type="paragraph" w:customStyle="1" w:styleId="9653CEA01EE92A4C958FED57DF8BEB36">
    <w:name w:val="9653CEA01EE92A4C958FED57DF8BEB36"/>
  </w:style>
  <w:style w:type="paragraph" w:customStyle="1" w:styleId="F283EC73FBA4CD409DE3EDF458AE9B88">
    <w:name w:val="F283EC73FBA4CD409DE3EDF458AE9B88"/>
  </w:style>
  <w:style w:type="paragraph" w:customStyle="1" w:styleId="5260AD420649364B87330CB2164F3BB4">
    <w:name w:val="5260AD420649364B87330CB2164F3BB4"/>
  </w:style>
  <w:style w:type="paragraph" w:customStyle="1" w:styleId="AFFBCC2918AAC348BD6DEBC9FBC6D63F">
    <w:name w:val="AFFBCC2918AAC348BD6DEBC9FBC6D63F"/>
  </w:style>
  <w:style w:type="paragraph" w:customStyle="1" w:styleId="2594E30A7F3A81448299B386A126F852">
    <w:name w:val="2594E30A7F3A81448299B386A126F852"/>
  </w:style>
  <w:style w:type="paragraph" w:customStyle="1" w:styleId="056572A60371724D896F268D378A16EC">
    <w:name w:val="056572A60371724D896F268D378A16EC"/>
  </w:style>
  <w:style w:type="paragraph" w:customStyle="1" w:styleId="6EFF35D16E3C0A4994FF25E7DA13F861">
    <w:name w:val="6EFF35D16E3C0A4994FF25E7DA13F861"/>
  </w:style>
  <w:style w:type="paragraph" w:customStyle="1" w:styleId="3860F89AC844C841A16C0327F1CFE996">
    <w:name w:val="3860F89AC844C841A16C0327F1CFE996"/>
  </w:style>
  <w:style w:type="paragraph" w:customStyle="1" w:styleId="8263E1D5703B894C9FD168CDBF849EEC">
    <w:name w:val="8263E1D5703B894C9FD168CDBF849EEC"/>
    <w:rsid w:val="003106D9"/>
  </w:style>
  <w:style w:type="paragraph" w:customStyle="1" w:styleId="5343904510E89E4ABC33001180703276">
    <w:name w:val="5343904510E89E4ABC33001180703276"/>
    <w:rsid w:val="003106D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6D9"/>
    <w:rPr>
      <w:color w:val="808080"/>
    </w:rPr>
  </w:style>
  <w:style w:type="paragraph" w:customStyle="1" w:styleId="C5ECC4586EF5A142828D11C848CF5A05">
    <w:name w:val="C5ECC4586EF5A142828D11C848CF5A05"/>
  </w:style>
  <w:style w:type="paragraph" w:customStyle="1" w:styleId="F75DD9299A6ED442BF09F607D7CB6FC5">
    <w:name w:val="F75DD9299A6ED442BF09F607D7CB6FC5"/>
  </w:style>
  <w:style w:type="paragraph" w:customStyle="1" w:styleId="DDF25F7A650D624BB8A55D09694577B2">
    <w:name w:val="DDF25F7A650D624BB8A55D09694577B2"/>
  </w:style>
  <w:style w:type="paragraph" w:customStyle="1" w:styleId="9653CEA01EE92A4C958FED57DF8BEB36">
    <w:name w:val="9653CEA01EE92A4C958FED57DF8BEB36"/>
  </w:style>
  <w:style w:type="paragraph" w:customStyle="1" w:styleId="F283EC73FBA4CD409DE3EDF458AE9B88">
    <w:name w:val="F283EC73FBA4CD409DE3EDF458AE9B88"/>
  </w:style>
  <w:style w:type="paragraph" w:customStyle="1" w:styleId="5260AD420649364B87330CB2164F3BB4">
    <w:name w:val="5260AD420649364B87330CB2164F3BB4"/>
  </w:style>
  <w:style w:type="paragraph" w:customStyle="1" w:styleId="AFFBCC2918AAC348BD6DEBC9FBC6D63F">
    <w:name w:val="AFFBCC2918AAC348BD6DEBC9FBC6D63F"/>
  </w:style>
  <w:style w:type="paragraph" w:customStyle="1" w:styleId="2594E30A7F3A81448299B386A126F852">
    <w:name w:val="2594E30A7F3A81448299B386A126F852"/>
  </w:style>
  <w:style w:type="paragraph" w:customStyle="1" w:styleId="056572A60371724D896F268D378A16EC">
    <w:name w:val="056572A60371724D896F268D378A16EC"/>
  </w:style>
  <w:style w:type="paragraph" w:customStyle="1" w:styleId="6EFF35D16E3C0A4994FF25E7DA13F861">
    <w:name w:val="6EFF35D16E3C0A4994FF25E7DA13F861"/>
  </w:style>
  <w:style w:type="paragraph" w:customStyle="1" w:styleId="3860F89AC844C841A16C0327F1CFE996">
    <w:name w:val="3860F89AC844C841A16C0327F1CFE996"/>
  </w:style>
  <w:style w:type="paragraph" w:customStyle="1" w:styleId="8263E1D5703B894C9FD168CDBF849EEC">
    <w:name w:val="8263E1D5703B894C9FD168CDBF849EEC"/>
    <w:rsid w:val="003106D9"/>
  </w:style>
  <w:style w:type="paragraph" w:customStyle="1" w:styleId="5343904510E89E4ABC33001180703276">
    <w:name w:val="5343904510E89E4ABC33001180703276"/>
    <w:rsid w:val="003106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Dol04</b:Tag>
    <b:SourceType>Book</b:SourceType>
    <b:Guid>{B11B26D7-D0A3-604A-9D43-5CDEF320A1C5}</b:Guid>
    <b:Author>
      <b:Author>
        <b:NameList>
          <b:Person>
            <b:Last>Dollinger</b:Last>
            <b:First>Roland</b:First>
          </b:Person>
          <b:Person>
            <b:Last>Köpke</b:Last>
            <b:First>Wulf</b:First>
          </b:Person>
          <b:Person>
            <b:Last>Thomann Tewarson</b:Last>
            <b:First>Heidi</b:First>
          </b:Person>
        </b:NameList>
      </b:Author>
    </b:Author>
    <b:Title>A Companion to the Works of Alfred Döblin</b:Title>
    <b:City>Rochester</b:City>
    <b:StateProvince>NY</b:StateProvince>
    <b:Publisher>Camden House</b:Publisher>
    <b:Year>2004</b:Year>
    <b:RefOrder>1</b:RefOrder>
  </b:Source>
  <b:Source>
    <b:Tag>Köp03</b:Tag>
    <b:SourceType>Book</b:SourceType>
    <b:Guid>{3E2604E1-021C-364D-AFE3-22D4829796E8}</b:Guid>
    <b:Author>
      <b:Author>
        <b:NameList>
          <b:Person>
            <b:Last>Köpke</b:Last>
            <b:First>Wulf</b:First>
          </b:Person>
        </b:NameList>
      </b:Author>
    </b:Author>
    <b:Title>The Critical Reception of Alfred Döblin’s Major Novels</b:Title>
    <b:City>Rochester</b:City>
    <b:StateProvince>NY</b:StateProvince>
    <b:Publisher>Camden House</b:Publisher>
    <b:Year>2003</b:Year>
    <b:RefOrder>2</b:RefOrder>
  </b:Source>
  <b:Source>
    <b:Tag>Kor74</b:Tag>
    <b:SourceType>Book</b:SourceType>
    <b:Guid>{5B64C81F-80DE-C349-B659-20DE1A1F32AB}</b:Guid>
    <b:Author>
      <b:Author>
        <b:NameList>
          <b:Person>
            <b:Last>Kort</b:Last>
            <b:First>Wolfgang</b:First>
          </b:Person>
        </b:NameList>
      </b:Author>
    </b:Author>
    <b:Title>Alfred Döblin</b:Title>
    <b:City>New York</b:City>
    <b:Publisher>Twayne</b:Publisher>
    <b:Year>1974</b:Year>
    <b:RefOrder>3</b:RefOrder>
  </b:Source>
  <b:Source>
    <b:Tag>San01</b:Tag>
    <b:SourceType>Book</b:SourceType>
    <b:Guid>{A4694280-69A6-344D-93F5-18554221E0C0}</b:Guid>
    <b:Author>
      <b:Author>
        <b:NameList>
          <b:Person>
            <b:Last>Sander</b:Last>
            <b:First>Gabrielle</b:First>
          </b:Person>
        </b:NameList>
      </b:Author>
    </b:Author>
    <b:Title>Alfred Döblin</b:Title>
    <b:City>Stuttgart</b:City>
    <b:Publisher>Reclam</b:Publisher>
    <b:Year>2001</b:Year>
    <b:RefOrder>4</b:RefOrder>
  </b:Source>
</b:Sources>
</file>

<file path=customXml/itemProps1.xml><?xml version="1.0" encoding="utf-8"?>
<ds:datastoreItem xmlns:ds="http://schemas.openxmlformats.org/officeDocument/2006/customXml" ds:itemID="{55F324D7-2BF7-D54E-90F9-0152322E9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4</Pages>
  <Words>1474</Words>
  <Characters>8511</Characters>
  <Application>Microsoft Macintosh Word</Application>
  <DocSecurity>0</DocSecurity>
  <Lines>149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2016-01-13T18:17:00Z</dcterms:created>
  <dcterms:modified xsi:type="dcterms:W3CDTF">2016-01-13T18:42:00Z</dcterms:modified>
</cp:coreProperties>
</file>