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45DD01" w14:textId="77777777" w:rsidR="008B5007" w:rsidRDefault="008B5007">
      <w:pPr>
        <w:pStyle w:val="Normal1"/>
        <w:widowControl w:val="0"/>
        <w:spacing w:after="0" w:line="276" w:lineRule="auto"/>
      </w:pPr>
    </w:p>
    <w:tbl>
      <w:tblPr>
        <w:tblStyle w:val="a"/>
        <w:tblW w:w="9016" w:type="dxa"/>
        <w:tblInd w:w="-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B5007" w14:paraId="5633FAFC" w14:textId="77777777">
        <w:tc>
          <w:tcPr>
            <w:tcW w:w="491" w:type="dxa"/>
            <w:vMerge w:val="restart"/>
            <w:shd w:val="clear" w:color="auto" w:fill="A6A6A6"/>
          </w:tcPr>
          <w:p w14:paraId="0A3C52F2" w14:textId="77777777" w:rsidR="008B5007" w:rsidRDefault="004552B8">
            <w:pPr>
              <w:pStyle w:val="Normal1"/>
              <w:jc w:val="center"/>
            </w:pPr>
            <w:bookmarkStart w:id="0" w:name="h.gjdgxs" w:colFirst="0" w:colLast="0"/>
            <w:bookmarkEnd w:id="0"/>
            <w:r>
              <w:rPr>
                <w:b/>
              </w:rPr>
              <w:t>About you</w:t>
            </w:r>
          </w:p>
        </w:tc>
        <w:tc>
          <w:tcPr>
            <w:tcW w:w="1296" w:type="dxa"/>
          </w:tcPr>
          <w:p w14:paraId="4746D0C0" w14:textId="77777777" w:rsidR="008B5007" w:rsidRDefault="004552B8">
            <w:pPr>
              <w:pStyle w:val="Normal1"/>
              <w:jc w:val="center"/>
            </w:pPr>
            <w:r>
              <w:rPr>
                <w:b/>
                <w:color w:val="808080"/>
              </w:rPr>
              <w:t>[Salutation]</w:t>
            </w:r>
          </w:p>
        </w:tc>
        <w:tc>
          <w:tcPr>
            <w:tcW w:w="2063" w:type="dxa"/>
          </w:tcPr>
          <w:p w14:paraId="02C3307E" w14:textId="77777777" w:rsidR="008B5007" w:rsidRDefault="001D496E">
            <w:pPr>
              <w:pStyle w:val="Normal1"/>
            </w:pPr>
            <w:r>
              <w:rPr>
                <w:color w:val="808080"/>
              </w:rPr>
              <w:t>Joel</w:t>
            </w:r>
          </w:p>
        </w:tc>
        <w:tc>
          <w:tcPr>
            <w:tcW w:w="2538" w:type="dxa"/>
          </w:tcPr>
          <w:p w14:paraId="152803FA" w14:textId="77777777" w:rsidR="008B5007" w:rsidRDefault="004552B8">
            <w:pPr>
              <w:pStyle w:val="Normal1"/>
            </w:pPr>
            <w:r>
              <w:rPr>
                <w:color w:val="808080"/>
              </w:rPr>
              <w:t>[Middle name]</w:t>
            </w:r>
          </w:p>
        </w:tc>
        <w:tc>
          <w:tcPr>
            <w:tcW w:w="2628" w:type="dxa"/>
          </w:tcPr>
          <w:p w14:paraId="3B2D5C20" w14:textId="77777777" w:rsidR="008B5007" w:rsidRDefault="001D496E">
            <w:pPr>
              <w:pStyle w:val="Normal1"/>
            </w:pPr>
            <w:r>
              <w:rPr>
                <w:color w:val="808080"/>
              </w:rPr>
              <w:t>Hawkes</w:t>
            </w:r>
          </w:p>
        </w:tc>
      </w:tr>
      <w:tr w:rsidR="008B5007" w14:paraId="4E7D8E18" w14:textId="77777777">
        <w:trPr>
          <w:trHeight w:val="980"/>
        </w:trPr>
        <w:tc>
          <w:tcPr>
            <w:tcW w:w="491" w:type="dxa"/>
            <w:vMerge/>
            <w:shd w:val="clear" w:color="auto" w:fill="A6A6A6"/>
          </w:tcPr>
          <w:p w14:paraId="23307AB4" w14:textId="77777777" w:rsidR="008B5007" w:rsidRDefault="008B5007">
            <w:pPr>
              <w:pStyle w:val="Normal1"/>
              <w:jc w:val="center"/>
            </w:pPr>
          </w:p>
        </w:tc>
        <w:tc>
          <w:tcPr>
            <w:tcW w:w="8525" w:type="dxa"/>
            <w:gridSpan w:val="4"/>
          </w:tcPr>
          <w:p w14:paraId="15E0071D" w14:textId="77777777" w:rsidR="008B5007" w:rsidRDefault="00020F53">
            <w:pPr>
              <w:pStyle w:val="Normal1"/>
            </w:pPr>
            <w:r w:rsidRPr="00020F53">
              <w:rPr>
                <w:color w:val="808080"/>
              </w:rPr>
              <w:t xml:space="preserve">  </w:t>
            </w:r>
          </w:p>
        </w:tc>
      </w:tr>
      <w:tr w:rsidR="008B5007" w14:paraId="0F9B3E88" w14:textId="77777777">
        <w:trPr>
          <w:trHeight w:val="980"/>
        </w:trPr>
        <w:tc>
          <w:tcPr>
            <w:tcW w:w="491" w:type="dxa"/>
            <w:vMerge/>
            <w:shd w:val="clear" w:color="auto" w:fill="A6A6A6"/>
          </w:tcPr>
          <w:p w14:paraId="41C10F27" w14:textId="77777777" w:rsidR="008B5007" w:rsidRDefault="008B5007">
            <w:pPr>
              <w:pStyle w:val="Normal1"/>
              <w:jc w:val="center"/>
            </w:pPr>
          </w:p>
        </w:tc>
        <w:tc>
          <w:tcPr>
            <w:tcW w:w="8525" w:type="dxa"/>
            <w:gridSpan w:val="4"/>
          </w:tcPr>
          <w:p w14:paraId="266F1C3E" w14:textId="77777777" w:rsidR="008B5007" w:rsidRDefault="004552B8">
            <w:pPr>
              <w:pStyle w:val="Normal1"/>
            </w:pPr>
            <w:r>
              <w:rPr>
                <w:color w:val="808080"/>
              </w:rPr>
              <w:t>University of Victoria</w:t>
            </w:r>
          </w:p>
        </w:tc>
      </w:tr>
    </w:tbl>
    <w:p w14:paraId="51BAB03C" w14:textId="77777777" w:rsidR="008B5007" w:rsidRDefault="008B5007">
      <w:pPr>
        <w:pStyle w:val="Normal1"/>
      </w:pPr>
    </w:p>
    <w:tbl>
      <w:tblPr>
        <w:tblStyle w:val="a0"/>
        <w:tblW w:w="9016" w:type="dxa"/>
        <w:tblInd w:w="-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B5007" w14:paraId="02B2E52A" w14:textId="7777777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0207DCEB" w14:textId="77777777" w:rsidR="008B5007" w:rsidRDefault="004552B8">
            <w:pPr>
              <w:pStyle w:val="Normal1"/>
              <w:jc w:val="center"/>
            </w:pPr>
            <w:r>
              <w:rPr>
                <w:b/>
              </w:rPr>
              <w:t>Your article</w:t>
            </w:r>
          </w:p>
        </w:tc>
      </w:tr>
      <w:tr w:rsidR="008B5007" w14:paraId="4C4D8A5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0E1BCF" w14:textId="658EB7BE" w:rsidR="008B5007" w:rsidRDefault="009C54B0" w:rsidP="009C54B0">
            <w:proofErr w:type="spellStart"/>
            <w:r>
              <w:t>Lutyens</w:t>
            </w:r>
            <w:proofErr w:type="spellEnd"/>
            <w:r>
              <w:t>, Elisabeth (1906–</w:t>
            </w:r>
            <w:r w:rsidR="00F12F96">
              <w:t>1983)</w:t>
            </w:r>
          </w:p>
        </w:tc>
      </w:tr>
      <w:tr w:rsidR="008B5007" w14:paraId="11F3C02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5C216DB" w14:textId="45BDBB35" w:rsidR="008B5007" w:rsidRDefault="009C54B0" w:rsidP="009C54B0">
            <w:proofErr w:type="spellStart"/>
            <w:r>
              <w:t>Lutyens</w:t>
            </w:r>
            <w:proofErr w:type="spellEnd"/>
            <w:r>
              <w:t>, Agnes Elizabeth</w:t>
            </w:r>
          </w:p>
        </w:tc>
      </w:tr>
      <w:tr w:rsidR="008B5007" w14:paraId="26EC9AB9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4F205869" w14:textId="77777777" w:rsidR="008B5007" w:rsidRDefault="004552B8">
            <w:pPr>
              <w:pStyle w:val="Normal1"/>
            </w:pPr>
            <w:r>
              <w:rPr>
                <w:color w:val="808080"/>
              </w:rPr>
              <w:t xml:space="preserve">[Enter an </w:t>
            </w:r>
            <w:r>
              <w:rPr>
                <w:b/>
                <w:color w:val="808080"/>
              </w:rPr>
              <w:t>abstract</w:t>
            </w:r>
            <w:r>
              <w:rPr>
                <w:color w:val="808080"/>
              </w:rPr>
              <w:t xml:space="preserve"> for your article]</w:t>
            </w:r>
          </w:p>
        </w:tc>
      </w:tr>
      <w:tr w:rsidR="008B5007" w14:paraId="20296526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DF8783B" w14:textId="2540D58A" w:rsidR="00020F53" w:rsidRDefault="00020F53" w:rsidP="009C54B0">
            <w:r>
              <w:t xml:space="preserve">(Agnes) Elisabeth </w:t>
            </w:r>
            <w:proofErr w:type="spellStart"/>
            <w:r>
              <w:t>Lutyens</w:t>
            </w:r>
            <w:proofErr w:type="spellEnd"/>
            <w:r>
              <w:t>, CBE, was an English composer, credited with helping to estab</w:t>
            </w:r>
            <w:r w:rsidR="00D00992">
              <w:t>lish the twelve-tone method of s</w:t>
            </w:r>
            <w:r w:rsidR="009C54B0">
              <w:t xml:space="preserve">erialism in Britain. </w:t>
            </w:r>
            <w:proofErr w:type="spellStart"/>
            <w:r>
              <w:t>Lutyens</w:t>
            </w:r>
            <w:proofErr w:type="spellEnd"/>
            <w:r>
              <w:t xml:space="preserve">’ first major composition using this technique, </w:t>
            </w:r>
            <w:r>
              <w:rPr>
                <w:i/>
              </w:rPr>
              <w:t>Three Pieces for Orchestra</w:t>
            </w:r>
            <w:r>
              <w:t xml:space="preserve">, Op. 7, was premiered in London on the first night of the blitz in 1940.  </w:t>
            </w:r>
            <w:proofErr w:type="spellStart"/>
            <w:r>
              <w:t>Lutyens</w:t>
            </w:r>
            <w:proofErr w:type="spellEnd"/>
            <w:r>
              <w:t xml:space="preserve"> insisted she came upon this technique herself, and was not inspired by the work of </w:t>
            </w:r>
            <w:r w:rsidRPr="006E40C5">
              <w:t>Arnold Schoenberg</w:t>
            </w:r>
            <w:r>
              <w:t xml:space="preserve">, who is acknowledge as the pioneer of the technique, in which the notes of the chromatic scale are ordered into a series that functions as a unifying </w:t>
            </w:r>
            <w:r w:rsidRPr="006F4845">
              <w:t>principle f</w:t>
            </w:r>
            <w:r>
              <w:t xml:space="preserve">or harmony, melody and variation – all twelve notes of the scale are sounded an equal number of times in a composition to </w:t>
            </w:r>
            <w:r w:rsidR="009C54B0">
              <w:t xml:space="preserve">ensure no emphasis on any one. </w:t>
            </w:r>
            <w:proofErr w:type="spellStart"/>
            <w:r>
              <w:t>Lutyens</w:t>
            </w:r>
            <w:proofErr w:type="spellEnd"/>
            <w:r>
              <w:t xml:space="preserve"> often coupled this specialised atonal technique with literary and philosophical text, setting to music writers such as Joyce, Wittgenstein, Beckett, and Dylan Thomas, to create </w:t>
            </w:r>
            <w:proofErr w:type="gramStart"/>
            <w:r>
              <w:t>a music</w:t>
            </w:r>
            <w:proofErr w:type="gramEnd"/>
            <w:r>
              <w:t xml:space="preserve"> both praised and </w:t>
            </w:r>
            <w:r w:rsidR="009C54B0">
              <w:t xml:space="preserve">critiqued as intellectualised. </w:t>
            </w:r>
            <w:r>
              <w:t>She broke early from her juvenile setting of religious texts and her belief that music was a spiritual experience, choosing instead a practice that located significance in systematic patterns; this reflected a break with her m</w:t>
            </w:r>
            <w:r w:rsidR="009C54B0">
              <w:t xml:space="preserve">other’s religion of Theosophy. </w:t>
            </w:r>
            <w:proofErr w:type="spellStart"/>
            <w:r>
              <w:t>Jiddu</w:t>
            </w:r>
            <w:proofErr w:type="spellEnd"/>
            <w:r>
              <w:t xml:space="preserve"> </w:t>
            </w:r>
            <w:proofErr w:type="spellStart"/>
            <w:r>
              <w:t>Krishnamurti</w:t>
            </w:r>
            <w:proofErr w:type="spellEnd"/>
            <w:r>
              <w:t xml:space="preserve">, the Theosophist group’s incarnated World Leader, lived with the </w:t>
            </w:r>
            <w:proofErr w:type="spellStart"/>
            <w:r>
              <w:t>Lutyens</w:t>
            </w:r>
            <w:proofErr w:type="spellEnd"/>
            <w:r>
              <w:t xml:space="preserve"> family between 1911 and 1921, and in 1923 her mother took Elisabeth and her sister Mary, via Austria and India, to a Theosophical Community in Australia, o</w:t>
            </w:r>
            <w:r w:rsidR="009C54B0">
              <w:t xml:space="preserve">verseen by Charles </w:t>
            </w:r>
            <w:proofErr w:type="spellStart"/>
            <w:r w:rsidR="009C54B0">
              <w:t>Leadbeater</w:t>
            </w:r>
            <w:proofErr w:type="spellEnd"/>
            <w:r w:rsidR="009C54B0">
              <w:t xml:space="preserve">. </w:t>
            </w:r>
            <w:proofErr w:type="spellStart"/>
            <w:r>
              <w:t>Lutyens</w:t>
            </w:r>
            <w:proofErr w:type="spellEnd"/>
            <w:r>
              <w:t xml:space="preserve"> had also travelled alone to Paris in 1923 where she discovered the music of Debussy, which she claimed as a great influence; in 1924, she split from her mother’s next pilgrimage </w:t>
            </w:r>
            <w:r w:rsidRPr="006F4845">
              <w:t>to</w:t>
            </w:r>
            <w:r>
              <w:t xml:space="preserve"> California, and enrolled in the Royal College of Music.  One of her early works was composed for the ballet </w:t>
            </w:r>
            <w:r>
              <w:rPr>
                <w:i/>
              </w:rPr>
              <w:t xml:space="preserve">The Birthday of the </w:t>
            </w:r>
            <w:proofErr w:type="spellStart"/>
            <w:r>
              <w:rPr>
                <w:i/>
              </w:rPr>
              <w:t>Infanta</w:t>
            </w:r>
            <w:proofErr w:type="spellEnd"/>
            <w:r>
              <w:rPr>
                <w:i/>
              </w:rPr>
              <w:t xml:space="preserve"> </w:t>
            </w:r>
            <w:r w:rsidR="009C54B0">
              <w:t xml:space="preserve">(1932). </w:t>
            </w:r>
            <w:r>
              <w:t xml:space="preserve">As a student she made many acquaintances, including composers Benjamin Britten (whom she disliked), and Alan </w:t>
            </w:r>
            <w:proofErr w:type="spellStart"/>
            <w:r>
              <w:t>Rawsthrone</w:t>
            </w:r>
            <w:proofErr w:type="spellEnd"/>
            <w:r>
              <w:t xml:space="preserve">, Elizabeth </w:t>
            </w:r>
            <w:proofErr w:type="spellStart"/>
            <w:r>
              <w:t>Maconchy</w:t>
            </w:r>
            <w:proofErr w:type="spellEnd"/>
            <w:r>
              <w:t>, and William Walton, who remained lon</w:t>
            </w:r>
            <w:r w:rsidR="009C54B0">
              <w:t xml:space="preserve">g-term friends and colleagues. </w:t>
            </w:r>
            <w:r>
              <w:t>Her most significant piece from this period was h</w:t>
            </w:r>
            <w:r w:rsidR="009C54B0">
              <w:t xml:space="preserve">er Chamber Concerto No. 1 (1939–1940) for nine instruments. </w:t>
            </w:r>
            <w:r>
              <w:t xml:space="preserve">Later war-time compositions such as </w:t>
            </w:r>
            <w:r>
              <w:rPr>
                <w:i/>
              </w:rPr>
              <w:t>Three Salutes for the United Nations</w:t>
            </w:r>
            <w:r w:rsidR="009C54B0">
              <w:t xml:space="preserve"> (1941–194</w:t>
            </w:r>
            <w:r>
              <w:t xml:space="preserve">3) and </w:t>
            </w:r>
            <w:r>
              <w:rPr>
                <w:i/>
              </w:rPr>
              <w:t xml:space="preserve">Proud City </w:t>
            </w:r>
            <w:r>
              <w:t xml:space="preserve">(1945) were more tonal, and patriotic, but 1946 saw new developments in her style and twelve-tone method in </w:t>
            </w:r>
            <w:r>
              <w:rPr>
                <w:i/>
              </w:rPr>
              <w:t xml:space="preserve">O </w:t>
            </w:r>
            <w:proofErr w:type="spellStart"/>
            <w:r>
              <w:rPr>
                <w:i/>
              </w:rPr>
              <w:t>Saisons</w:t>
            </w:r>
            <w:proofErr w:type="spellEnd"/>
            <w:r>
              <w:rPr>
                <w:i/>
              </w:rPr>
              <w:t>, O Châteaux!</w:t>
            </w:r>
            <w:r w:rsidR="009C54B0">
              <w:t xml:space="preserve"> </w:t>
            </w:r>
            <w:r>
              <w:t xml:space="preserve">However, the 1940s for her were a struggle to find work, and reflected a greater battle for recognition, not only for an intensely intellectualised music, but, as </w:t>
            </w:r>
            <w:proofErr w:type="spellStart"/>
            <w:r>
              <w:t>Lutyens</w:t>
            </w:r>
            <w:proofErr w:type="spellEnd"/>
            <w:r>
              <w:t xml:space="preserve"> believed, for a woman in a </w:t>
            </w:r>
            <w:r w:rsidR="009C54B0">
              <w:t>‘</w:t>
            </w:r>
            <w:r>
              <w:t>man’s world</w:t>
            </w:r>
            <w:r w:rsidR="009C54B0">
              <w:t xml:space="preserve">’. </w:t>
            </w:r>
            <w:r>
              <w:t xml:space="preserve">Early reviews often mentioned her father, renowned architect Sir Edwin </w:t>
            </w:r>
            <w:proofErr w:type="spellStart"/>
            <w:r>
              <w:t>Lutyens</w:t>
            </w:r>
            <w:proofErr w:type="spellEnd"/>
            <w:r>
              <w:t xml:space="preserve">, and she also struggled to be recognised as a composer and </w:t>
            </w:r>
            <w:r w:rsidR="009C54B0">
              <w:lastRenderedPageBreak/>
              <w:t xml:space="preserve">not as a ‘female composer’. </w:t>
            </w:r>
            <w:r>
              <w:t xml:space="preserve">At the time, she was part of the </w:t>
            </w:r>
            <w:proofErr w:type="spellStart"/>
            <w:r>
              <w:t>Fitzrovia</w:t>
            </w:r>
            <w:proofErr w:type="spellEnd"/>
            <w:r>
              <w:t xml:space="preserve"> scene, drinking with Francis Bacon and Dylan</w:t>
            </w:r>
            <w:r w:rsidR="009C54B0">
              <w:t xml:space="preserve"> Thomas. </w:t>
            </w:r>
            <w:r>
              <w:t xml:space="preserve">Her alcoholism worsened towards the end of the decade and she suffered a breakdown in 1948 (In 1952, she received chemical treatment for her drinking).  However, in the same period, </w:t>
            </w:r>
            <w:proofErr w:type="spellStart"/>
            <w:r>
              <w:t>Lutyens</w:t>
            </w:r>
            <w:proofErr w:type="spellEnd"/>
            <w:r>
              <w:t xml:space="preserve"> was offered her first commission for an entire film, the documentary </w:t>
            </w:r>
            <w:r>
              <w:rPr>
                <w:i/>
              </w:rPr>
              <w:t>Jungle Mariners</w:t>
            </w:r>
            <w:r>
              <w:t xml:space="preserve"> (1944), and another </w:t>
            </w:r>
            <w:r>
              <w:rPr>
                <w:i/>
              </w:rPr>
              <w:t>The Pit</w:t>
            </w:r>
            <w:r>
              <w:t xml:space="preserve"> (1947).</w:t>
            </w:r>
            <w:r w:rsidRPr="00C87415">
              <w:t xml:space="preserve"> </w:t>
            </w:r>
            <w:r>
              <w:t xml:space="preserve">She also received her first BBC commission, for poet Louis MacNeice’s play </w:t>
            </w:r>
            <w:r>
              <w:rPr>
                <w:i/>
              </w:rPr>
              <w:t>Enter Caesar</w:t>
            </w:r>
            <w:r w:rsidR="009C54B0">
              <w:t xml:space="preserve"> (1946). </w:t>
            </w:r>
            <w:r>
              <w:t xml:space="preserve">Later documentaries included </w:t>
            </w:r>
            <w:r>
              <w:rPr>
                <w:i/>
              </w:rPr>
              <w:t xml:space="preserve">The Boy </w:t>
            </w:r>
            <w:proofErr w:type="spellStart"/>
            <w:r>
              <w:rPr>
                <w:i/>
              </w:rPr>
              <w:t>Kumasenu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(1952), </w:t>
            </w:r>
            <w:r>
              <w:rPr>
                <w:i/>
              </w:rPr>
              <w:t xml:space="preserve">Little Arden </w:t>
            </w:r>
            <w:r>
              <w:t xml:space="preserve">(1955) and </w:t>
            </w:r>
            <w:r>
              <w:rPr>
                <w:i/>
              </w:rPr>
              <w:t xml:space="preserve">The Weald of Kent </w:t>
            </w:r>
            <w:r>
              <w:t>(195</w:t>
            </w:r>
            <w:r w:rsidR="009C54B0">
              <w:t xml:space="preserve">9), narrated by John Betjeman. </w:t>
            </w:r>
            <w:r>
              <w:t xml:space="preserve">Her first feature film was the romantic comedy </w:t>
            </w:r>
            <w:r>
              <w:rPr>
                <w:i/>
              </w:rPr>
              <w:t xml:space="preserve">Don’t Bother to Knock </w:t>
            </w:r>
            <w:r>
              <w:t xml:space="preserve">(1960), but her style was better suited for horror, and she arranged the music for films including </w:t>
            </w:r>
            <w:r>
              <w:rPr>
                <w:i/>
              </w:rPr>
              <w:t xml:space="preserve">The Earth Dies Screaming </w:t>
            </w:r>
            <w:r>
              <w:t xml:space="preserve">(1964) and </w:t>
            </w:r>
            <w:r>
              <w:rPr>
                <w:i/>
              </w:rPr>
              <w:t xml:space="preserve">The Skull </w:t>
            </w:r>
            <w:r w:rsidR="009C54B0">
              <w:t xml:space="preserve">(1965). </w:t>
            </w:r>
            <w:r>
              <w:t xml:space="preserve">In 1947, Humphrey Searle arranged an entire concert of her work and the journal </w:t>
            </w:r>
            <w:r>
              <w:rPr>
                <w:i/>
              </w:rPr>
              <w:t xml:space="preserve">Les Temps </w:t>
            </w:r>
            <w:proofErr w:type="spellStart"/>
            <w:r>
              <w:rPr>
                <w:i/>
              </w:rPr>
              <w:t>Modernes</w:t>
            </w:r>
            <w:proofErr w:type="spellEnd"/>
            <w:r>
              <w:t xml:space="preserve"> proclaimed her the future of modern British music.  The first performance of </w:t>
            </w:r>
            <w:r>
              <w:rPr>
                <w:i/>
              </w:rPr>
              <w:t xml:space="preserve">O </w:t>
            </w:r>
            <w:proofErr w:type="spellStart"/>
            <w:r>
              <w:rPr>
                <w:i/>
              </w:rPr>
              <w:t>Saisons</w:t>
            </w:r>
            <w:proofErr w:type="spellEnd"/>
            <w:r>
              <w:rPr>
                <w:i/>
              </w:rPr>
              <w:t xml:space="preserve">! O Châteaux! </w:t>
            </w:r>
            <w:proofErr w:type="gramStart"/>
            <w:r>
              <w:t>in</w:t>
            </w:r>
            <w:proofErr w:type="gramEnd"/>
            <w:r>
              <w:t xml:space="preserve"> 1949 was a turning point in her career and she played a bigger part in the British</w:t>
            </w:r>
            <w:r w:rsidR="009C54B0">
              <w:t xml:space="preserve"> music scene during the 1950s. </w:t>
            </w:r>
            <w:r>
              <w:t>String Quartet No. 6 (195</w:t>
            </w:r>
            <w:r w:rsidR="009C54B0">
              <w:t xml:space="preserve">2) demonstrated a mature work. </w:t>
            </w:r>
            <w:r>
              <w:t xml:space="preserve">Other important compositions include </w:t>
            </w:r>
            <w:r>
              <w:rPr>
                <w:i/>
              </w:rPr>
              <w:t xml:space="preserve">Requiem for the Living </w:t>
            </w:r>
            <w:r>
              <w:t xml:space="preserve">(1948), </w:t>
            </w:r>
            <w:r>
              <w:rPr>
                <w:i/>
              </w:rPr>
              <w:t>Valediction</w:t>
            </w:r>
            <w:r w:rsidR="009C54B0">
              <w:t xml:space="preserve"> (1953–193</w:t>
            </w:r>
            <w:r>
              <w:t>4)</w:t>
            </w:r>
            <w:r>
              <w:rPr>
                <w:i/>
              </w:rPr>
              <w:t xml:space="preserve"> </w:t>
            </w:r>
            <w:r>
              <w:t>for clarinet and piano, Nocturnes (1954) for guitar, violin and cel</w:t>
            </w:r>
            <w:r w:rsidR="009C54B0">
              <w:t>lo, Music for Orchestra I (1953–193</w:t>
            </w:r>
            <w:r>
              <w:t xml:space="preserve">5), and </w:t>
            </w:r>
            <w:r>
              <w:rPr>
                <w:i/>
              </w:rPr>
              <w:t xml:space="preserve">Quincunx </w:t>
            </w:r>
            <w:r w:rsidR="009C54B0">
              <w:t>(19591–19</w:t>
            </w:r>
            <w:r>
              <w:t xml:space="preserve">60), described as a </w:t>
            </w:r>
            <w:r w:rsidR="009C54B0">
              <w:t>‘</w:t>
            </w:r>
            <w:r>
              <w:t>stream of musical co</w:t>
            </w:r>
            <w:r w:rsidR="009C54B0">
              <w:t xml:space="preserve">nsciousness’ by Anthony Payne. </w:t>
            </w:r>
            <w:r>
              <w:t xml:space="preserve">Her work received its greatest critical reception during the 1960s, with </w:t>
            </w:r>
            <w:r>
              <w:rPr>
                <w:i/>
              </w:rPr>
              <w:t xml:space="preserve">Quincunx </w:t>
            </w:r>
            <w:r>
              <w:t>receiving the best revie</w:t>
            </w:r>
            <w:r w:rsidR="009C54B0">
              <w:t xml:space="preserve">ws of her career to that date. </w:t>
            </w:r>
            <w:r>
              <w:t xml:space="preserve">From the late 1960s, she was </w:t>
            </w:r>
            <w:r w:rsidRPr="006F4845">
              <w:t>less dogmatic</w:t>
            </w:r>
            <w:r>
              <w:t xml:space="preserve"> in her </w:t>
            </w:r>
            <w:r w:rsidR="009C54B0">
              <w:t xml:space="preserve">use of the twelve-tone method. </w:t>
            </w:r>
            <w:proofErr w:type="spellStart"/>
            <w:r>
              <w:t>Lutyens</w:t>
            </w:r>
            <w:proofErr w:type="spellEnd"/>
            <w:r>
              <w:t xml:space="preserve"> also received more work from the BBC, as William </w:t>
            </w:r>
            <w:proofErr w:type="spellStart"/>
            <w:r>
              <w:t>Glock</w:t>
            </w:r>
            <w:proofErr w:type="spellEnd"/>
            <w:r>
              <w:t>, BBC Controller of Music, c</w:t>
            </w:r>
            <w:r w:rsidR="009C54B0">
              <w:t xml:space="preserve">ommissioned more modern music. </w:t>
            </w:r>
            <w:r>
              <w:t xml:space="preserve">Compositions of note from her later career include </w:t>
            </w:r>
            <w:r>
              <w:rPr>
                <w:i/>
              </w:rPr>
              <w:t xml:space="preserve">Catena </w:t>
            </w:r>
            <w:r>
              <w:t xml:space="preserve">(1961), which set Chaucer, Joyce, Dylan Thomas, Shakespeare, and Dryden to music, and was prefaced with Eliot’s </w:t>
            </w:r>
            <w:r>
              <w:rPr>
                <w:i/>
              </w:rPr>
              <w:t>Waste Land</w:t>
            </w:r>
            <w:r>
              <w:t xml:space="preserve">: </w:t>
            </w:r>
            <w:r w:rsidR="009C54B0">
              <w:t>‘</w:t>
            </w:r>
            <w:r>
              <w:t xml:space="preserve">These fragments I </w:t>
            </w:r>
            <w:r w:rsidR="009C54B0">
              <w:t>have shored against my ruins</w:t>
            </w:r>
            <w:bookmarkStart w:id="1" w:name="_GoBack"/>
            <w:r w:rsidR="009C54B0">
              <w:t>’.</w:t>
            </w:r>
            <w:bookmarkEnd w:id="1"/>
            <w:r w:rsidR="009C54B0">
              <w:t xml:space="preserve"> </w:t>
            </w:r>
            <w:r>
              <w:t xml:space="preserve">A setting of Swinburne in </w:t>
            </w:r>
            <w:r>
              <w:rPr>
                <w:i/>
              </w:rPr>
              <w:t>The Hymn of Man</w:t>
            </w:r>
            <w:r>
              <w:t xml:space="preserve"> (1965) showcased her di</w:t>
            </w:r>
            <w:r w:rsidR="009C54B0">
              <w:t xml:space="preserve">staste for organised religion. </w:t>
            </w:r>
            <w:r>
              <w:rPr>
                <w:i/>
              </w:rPr>
              <w:t xml:space="preserve">Essence of Happiness </w:t>
            </w:r>
            <w:r>
              <w:t xml:space="preserve">(1968) used Donne’s sermons, and </w:t>
            </w:r>
            <w:proofErr w:type="spellStart"/>
            <w:r>
              <w:rPr>
                <w:i/>
              </w:rPr>
              <w:t>Anerca</w:t>
            </w:r>
            <w:proofErr w:type="spellEnd"/>
            <w:r>
              <w:rPr>
                <w:i/>
              </w:rPr>
              <w:t xml:space="preserve"> </w:t>
            </w:r>
            <w:r>
              <w:t>(1970) was written for no fewer than ten guitars.</w:t>
            </w:r>
            <w:r w:rsidRPr="00491868">
              <w:rPr>
                <w:i/>
              </w:rPr>
              <w:t xml:space="preserve"> </w:t>
            </w:r>
            <w:r>
              <w:rPr>
                <w:i/>
              </w:rPr>
              <w:t xml:space="preserve">Driving Out The Death </w:t>
            </w:r>
            <w:r>
              <w:t xml:space="preserve">(1971), for oboe and string trio, remains </w:t>
            </w:r>
            <w:proofErr w:type="spellStart"/>
            <w:r>
              <w:t>Lutyens</w:t>
            </w:r>
            <w:proofErr w:type="spellEnd"/>
            <w:r>
              <w:t>’ most performed</w:t>
            </w:r>
            <w:r w:rsidR="009C54B0">
              <w:t xml:space="preserve"> work. </w:t>
            </w:r>
            <w:r>
              <w:t xml:space="preserve">In 1972, she published her autobiography, </w:t>
            </w:r>
            <w:r>
              <w:rPr>
                <w:i/>
              </w:rPr>
              <w:t>A Goldfish Bowl</w:t>
            </w:r>
            <w:r w:rsidR="009C54B0">
              <w:t xml:space="preserve">. </w:t>
            </w:r>
            <w:r>
              <w:t>Music for Orchestra IV (1981) was her last full orchestral work.</w:t>
            </w:r>
          </w:p>
        </w:tc>
      </w:tr>
      <w:tr w:rsidR="008B5007" w14:paraId="2FD0E579" w14:textId="77777777">
        <w:tc>
          <w:tcPr>
            <w:tcW w:w="9016" w:type="dxa"/>
          </w:tcPr>
          <w:p w14:paraId="6F1A23FD" w14:textId="77777777" w:rsidR="008B5007" w:rsidRDefault="004552B8">
            <w:pPr>
              <w:pStyle w:val="Normal1"/>
            </w:pPr>
            <w:r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8E3A229" w14:textId="77777777" w:rsidR="008B5007" w:rsidRDefault="004552B8">
            <w:pPr>
              <w:pStyle w:val="Normal1"/>
            </w:pPr>
            <w:r>
              <w:rPr>
                <w:color w:val="808080"/>
              </w:rPr>
              <w:t>[Enter citations for further reading here]</w:t>
            </w:r>
          </w:p>
        </w:tc>
      </w:tr>
    </w:tbl>
    <w:p w14:paraId="7C001FFB" w14:textId="77777777" w:rsidR="008B5007" w:rsidRDefault="008B5007">
      <w:pPr>
        <w:pStyle w:val="Normal1"/>
      </w:pPr>
    </w:p>
    <w:sectPr w:rsidR="008B5007" w:rsidSect="008B5007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6403E" w14:textId="77777777" w:rsidR="00AC07E2" w:rsidRDefault="00AC07E2" w:rsidP="008B5007">
      <w:pPr>
        <w:spacing w:after="0" w:line="240" w:lineRule="auto"/>
      </w:pPr>
      <w:r>
        <w:separator/>
      </w:r>
    </w:p>
  </w:endnote>
  <w:endnote w:type="continuationSeparator" w:id="0">
    <w:p w14:paraId="0D31C4B4" w14:textId="77777777" w:rsidR="00AC07E2" w:rsidRDefault="00AC07E2" w:rsidP="008B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BB9D8" w14:textId="77777777" w:rsidR="00AC07E2" w:rsidRDefault="00AC07E2" w:rsidP="008B5007">
      <w:pPr>
        <w:spacing w:after="0" w:line="240" w:lineRule="auto"/>
      </w:pPr>
      <w:r>
        <w:separator/>
      </w:r>
    </w:p>
  </w:footnote>
  <w:footnote w:type="continuationSeparator" w:id="0">
    <w:p w14:paraId="726C7834" w14:textId="77777777" w:rsidR="00AC07E2" w:rsidRDefault="00AC07E2" w:rsidP="008B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BC042" w14:textId="77777777" w:rsidR="008B5007" w:rsidRDefault="004552B8">
    <w:pPr>
      <w:pStyle w:val="Normal1"/>
      <w:tabs>
        <w:tab w:val="center" w:pos="4513"/>
        <w:tab w:val="right" w:pos="9026"/>
      </w:tabs>
      <w:spacing w:before="708" w:after="0" w:line="240" w:lineRule="auto"/>
    </w:pPr>
    <w:r>
      <w:rPr>
        <w:b/>
      </w:rPr>
      <w:t>Taylor &amp; Francis</w:t>
    </w:r>
    <w:r>
      <w:t xml:space="preserve"> – </w:t>
    </w:r>
    <w:proofErr w:type="spellStart"/>
    <w:r>
      <w:rPr>
        <w:i/>
      </w:rPr>
      <w:t>Encyclopedia</w:t>
    </w:r>
    <w:proofErr w:type="spellEnd"/>
    <w:r>
      <w:rPr>
        <w:i/>
      </w:rPr>
      <w:t xml:space="preserve"> of Modernism</w:t>
    </w:r>
  </w:p>
  <w:p w14:paraId="75BB6C0E" w14:textId="77777777" w:rsidR="008B5007" w:rsidRDefault="008B5007">
    <w:pPr>
      <w:pStyle w:val="Normal1"/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007"/>
    <w:rsid w:val="00020F53"/>
    <w:rsid w:val="00071865"/>
    <w:rsid w:val="00145090"/>
    <w:rsid w:val="001D496E"/>
    <w:rsid w:val="003663E7"/>
    <w:rsid w:val="0037199C"/>
    <w:rsid w:val="003F4B89"/>
    <w:rsid w:val="004552B8"/>
    <w:rsid w:val="005417E5"/>
    <w:rsid w:val="0073701E"/>
    <w:rsid w:val="00803B60"/>
    <w:rsid w:val="00836535"/>
    <w:rsid w:val="008B5007"/>
    <w:rsid w:val="009C54B0"/>
    <w:rsid w:val="00AC07E2"/>
    <w:rsid w:val="00AE0239"/>
    <w:rsid w:val="00CE7A6F"/>
    <w:rsid w:val="00D00992"/>
    <w:rsid w:val="00F12F96"/>
    <w:rsid w:val="00F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042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6F"/>
  </w:style>
  <w:style w:type="paragraph" w:styleId="Heading1">
    <w:name w:val="heading 1"/>
    <w:basedOn w:val="Normal1"/>
    <w:next w:val="Normal1"/>
    <w:rsid w:val="008B5007"/>
    <w:pPr>
      <w:keepNext/>
      <w:keepLines/>
      <w:spacing w:after="220"/>
      <w:outlineLvl w:val="0"/>
    </w:pPr>
    <w:rPr>
      <w:b/>
    </w:rPr>
  </w:style>
  <w:style w:type="paragraph" w:styleId="Heading2">
    <w:name w:val="heading 2"/>
    <w:basedOn w:val="Normal1"/>
    <w:next w:val="Normal1"/>
    <w:rsid w:val="008B5007"/>
    <w:pPr>
      <w:keepNext/>
      <w:keepLines/>
      <w:spacing w:after="220"/>
      <w:ind w:left="113"/>
      <w:outlineLvl w:val="1"/>
    </w:pPr>
  </w:style>
  <w:style w:type="paragraph" w:styleId="Heading3">
    <w:name w:val="heading 3"/>
    <w:basedOn w:val="Normal1"/>
    <w:next w:val="Normal1"/>
    <w:rsid w:val="008B5007"/>
    <w:pPr>
      <w:keepNext/>
      <w:keepLines/>
      <w:spacing w:after="220"/>
      <w:ind w:left="227"/>
      <w:outlineLvl w:val="2"/>
    </w:pPr>
  </w:style>
  <w:style w:type="paragraph" w:styleId="Heading4">
    <w:name w:val="heading 4"/>
    <w:basedOn w:val="Normal1"/>
    <w:next w:val="Normal1"/>
    <w:rsid w:val="008B500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B500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8B500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B5007"/>
  </w:style>
  <w:style w:type="paragraph" w:styleId="Title">
    <w:name w:val="Title"/>
    <w:basedOn w:val="Normal1"/>
    <w:next w:val="Normal1"/>
    <w:rsid w:val="008B500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B500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50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B50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45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90"/>
  </w:style>
  <w:style w:type="paragraph" w:styleId="Footer">
    <w:name w:val="footer"/>
    <w:basedOn w:val="Normal"/>
    <w:link w:val="FooterChar"/>
    <w:uiPriority w:val="99"/>
    <w:semiHidden/>
    <w:unhideWhenUsed/>
    <w:rsid w:val="00145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0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817</Words>
  <Characters>4708</Characters>
  <Application>Microsoft Macintosh Word</Application>
  <DocSecurity>0</DocSecurity>
  <Lines>114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Caroline Winter</cp:lastModifiedBy>
  <cp:revision>6</cp:revision>
  <dcterms:created xsi:type="dcterms:W3CDTF">2016-01-30T22:04:00Z</dcterms:created>
  <dcterms:modified xsi:type="dcterms:W3CDTF">2016-03-22T05:37:00Z</dcterms:modified>
</cp:coreProperties>
</file>