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E56615" w:rsidRPr="00E56615" w14:paraId="4D19DDC2" w14:textId="77777777" w:rsidTr="00E56615">
        <w:tc>
          <w:tcPr>
            <w:tcW w:w="491" w:type="dxa"/>
            <w:vMerge w:val="restart"/>
            <w:shd w:val="clear" w:color="auto" w:fill="A6A6A6"/>
            <w:textDirection w:val="btLr"/>
          </w:tcPr>
          <w:p w14:paraId="20A5CBDA" w14:textId="77777777" w:rsidR="00B574C9" w:rsidRPr="00E56615" w:rsidRDefault="00B574C9" w:rsidP="00E56615">
            <w:pPr>
              <w:spacing w:after="0" w:line="240" w:lineRule="auto"/>
              <w:jc w:val="center"/>
              <w:rPr>
                <w:b/>
                <w:color w:val="FFFFFF"/>
              </w:rPr>
            </w:pPr>
            <w:r w:rsidRPr="00E56615">
              <w:rPr>
                <w:b/>
                <w:color w:val="FFFFFF"/>
              </w:rPr>
              <w:t>About you</w:t>
            </w:r>
          </w:p>
        </w:tc>
        <w:tc>
          <w:tcPr>
            <w:tcW w:w="1259" w:type="dxa"/>
            <w:shd w:val="clear" w:color="auto" w:fill="auto"/>
          </w:tcPr>
          <w:p w14:paraId="138A3354" w14:textId="77777777" w:rsidR="00B574C9" w:rsidRPr="00E56615" w:rsidRDefault="00B574C9" w:rsidP="00E56615">
            <w:pPr>
              <w:spacing w:after="0" w:line="240" w:lineRule="auto"/>
              <w:jc w:val="center"/>
              <w:rPr>
                <w:b/>
                <w:color w:val="FFFFFF"/>
              </w:rPr>
            </w:pPr>
            <w:r w:rsidRPr="00E56615">
              <w:rPr>
                <w:rStyle w:val="PlaceholderText"/>
                <w:b/>
                <w:color w:val="FFFFFF"/>
              </w:rPr>
              <w:t>[Salutation]</w:t>
            </w:r>
          </w:p>
        </w:tc>
        <w:tc>
          <w:tcPr>
            <w:tcW w:w="2073" w:type="dxa"/>
            <w:shd w:val="clear" w:color="auto" w:fill="auto"/>
          </w:tcPr>
          <w:p w14:paraId="37DFDBC8" w14:textId="77777777" w:rsidR="00B574C9" w:rsidRPr="00E56615" w:rsidRDefault="00E56615" w:rsidP="00E56615">
            <w:pPr>
              <w:spacing w:after="0" w:line="240" w:lineRule="auto"/>
            </w:pPr>
            <w:r>
              <w:rPr>
                <w:rStyle w:val="PlaceholderText"/>
              </w:rPr>
              <w:t>Marta</w:t>
            </w:r>
          </w:p>
        </w:tc>
        <w:tc>
          <w:tcPr>
            <w:tcW w:w="2551" w:type="dxa"/>
            <w:shd w:val="clear" w:color="auto" w:fill="auto"/>
          </w:tcPr>
          <w:p w14:paraId="21FF5F53" w14:textId="77777777" w:rsidR="00B574C9" w:rsidRPr="00E56615" w:rsidRDefault="00B574C9" w:rsidP="00E56615">
            <w:pPr>
              <w:spacing w:after="0" w:line="240" w:lineRule="auto"/>
            </w:pPr>
            <w:r w:rsidRPr="00E56615">
              <w:rPr>
                <w:rStyle w:val="PlaceholderText"/>
              </w:rPr>
              <w:t>[Middle name]</w:t>
            </w:r>
          </w:p>
        </w:tc>
        <w:tc>
          <w:tcPr>
            <w:tcW w:w="2642" w:type="dxa"/>
            <w:shd w:val="clear" w:color="auto" w:fill="auto"/>
          </w:tcPr>
          <w:p w14:paraId="5CF8BA8F" w14:textId="77777777" w:rsidR="00B574C9" w:rsidRPr="00E56615" w:rsidRDefault="00E56615" w:rsidP="00E56615">
            <w:pPr>
              <w:spacing w:after="0" w:line="240" w:lineRule="auto"/>
            </w:pPr>
            <w:proofErr w:type="spellStart"/>
            <w:r>
              <w:rPr>
                <w:rStyle w:val="PlaceholderText"/>
              </w:rPr>
              <w:t>Jecu</w:t>
            </w:r>
            <w:proofErr w:type="spellEnd"/>
          </w:p>
        </w:tc>
      </w:tr>
      <w:tr w:rsidR="00E56615" w:rsidRPr="00E56615" w14:paraId="321EE771" w14:textId="77777777" w:rsidTr="00E56615">
        <w:trPr>
          <w:trHeight w:val="986"/>
        </w:trPr>
        <w:tc>
          <w:tcPr>
            <w:tcW w:w="491" w:type="dxa"/>
            <w:vMerge/>
            <w:shd w:val="clear" w:color="auto" w:fill="A6A6A6"/>
          </w:tcPr>
          <w:p w14:paraId="745D4533" w14:textId="77777777" w:rsidR="00B574C9" w:rsidRPr="00E56615" w:rsidRDefault="00B574C9" w:rsidP="00E56615">
            <w:pPr>
              <w:spacing w:after="0" w:line="240" w:lineRule="auto"/>
              <w:jc w:val="center"/>
              <w:rPr>
                <w:b/>
                <w:color w:val="FFFFFF"/>
              </w:rPr>
            </w:pPr>
          </w:p>
        </w:tc>
        <w:tc>
          <w:tcPr>
            <w:tcW w:w="8525" w:type="dxa"/>
            <w:gridSpan w:val="4"/>
            <w:shd w:val="clear" w:color="auto" w:fill="auto"/>
          </w:tcPr>
          <w:p w14:paraId="39349AAE" w14:textId="77777777" w:rsidR="00B574C9" w:rsidRPr="00E56615" w:rsidRDefault="00B574C9" w:rsidP="00E56615">
            <w:pPr>
              <w:spacing w:after="0" w:line="240" w:lineRule="auto"/>
            </w:pPr>
            <w:r w:rsidRPr="00E56615">
              <w:rPr>
                <w:rStyle w:val="PlaceholderText"/>
              </w:rPr>
              <w:t>[Enter your biography]</w:t>
            </w:r>
          </w:p>
        </w:tc>
      </w:tr>
      <w:tr w:rsidR="00E56615" w:rsidRPr="00E56615" w14:paraId="5423D590" w14:textId="77777777" w:rsidTr="00E56615">
        <w:trPr>
          <w:trHeight w:val="986"/>
        </w:trPr>
        <w:tc>
          <w:tcPr>
            <w:tcW w:w="491" w:type="dxa"/>
            <w:vMerge/>
            <w:shd w:val="clear" w:color="auto" w:fill="A6A6A6"/>
          </w:tcPr>
          <w:p w14:paraId="66A1B8E8" w14:textId="77777777" w:rsidR="00B574C9" w:rsidRPr="00E56615" w:rsidRDefault="00B574C9" w:rsidP="00E56615">
            <w:pPr>
              <w:spacing w:after="0" w:line="240" w:lineRule="auto"/>
              <w:jc w:val="center"/>
              <w:rPr>
                <w:b/>
                <w:color w:val="FFFFFF"/>
              </w:rPr>
            </w:pPr>
          </w:p>
        </w:tc>
        <w:tc>
          <w:tcPr>
            <w:tcW w:w="8525" w:type="dxa"/>
            <w:gridSpan w:val="4"/>
            <w:shd w:val="clear" w:color="auto" w:fill="auto"/>
          </w:tcPr>
          <w:p w14:paraId="653F9AD5" w14:textId="77777777" w:rsidR="00B574C9" w:rsidRPr="00E56615" w:rsidRDefault="00B574C9" w:rsidP="00E56615">
            <w:pPr>
              <w:spacing w:after="0" w:line="240" w:lineRule="auto"/>
            </w:pPr>
            <w:r w:rsidRPr="00E56615">
              <w:rPr>
                <w:rStyle w:val="PlaceholderText"/>
              </w:rPr>
              <w:t>[Enter the institution with which you are affiliated]</w:t>
            </w:r>
          </w:p>
        </w:tc>
      </w:tr>
    </w:tbl>
    <w:p w14:paraId="7DC4DCA3"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56615" w:rsidRPr="00E56615" w14:paraId="3CE671F7" w14:textId="77777777" w:rsidTr="00E56615">
        <w:tc>
          <w:tcPr>
            <w:tcW w:w="9016" w:type="dxa"/>
            <w:shd w:val="clear" w:color="auto" w:fill="A6A6A6"/>
            <w:tcMar>
              <w:top w:w="113" w:type="dxa"/>
              <w:bottom w:w="113" w:type="dxa"/>
            </w:tcMar>
          </w:tcPr>
          <w:p w14:paraId="04514591" w14:textId="77777777" w:rsidR="00244BB0" w:rsidRPr="00E56615" w:rsidRDefault="00244BB0" w:rsidP="00E56615">
            <w:pPr>
              <w:spacing w:after="0" w:line="240" w:lineRule="auto"/>
              <w:jc w:val="center"/>
              <w:rPr>
                <w:b/>
                <w:color w:val="FFFFFF"/>
              </w:rPr>
            </w:pPr>
            <w:r w:rsidRPr="00E56615">
              <w:rPr>
                <w:b/>
                <w:color w:val="FFFFFF"/>
              </w:rPr>
              <w:t>Your article</w:t>
            </w:r>
          </w:p>
        </w:tc>
      </w:tr>
      <w:tr w:rsidR="003F0D73" w:rsidRPr="00E56615" w14:paraId="235E60BE" w14:textId="77777777" w:rsidTr="00E56615">
        <w:tc>
          <w:tcPr>
            <w:tcW w:w="9016" w:type="dxa"/>
            <w:shd w:val="clear" w:color="auto" w:fill="auto"/>
            <w:tcMar>
              <w:top w:w="113" w:type="dxa"/>
              <w:bottom w:w="113" w:type="dxa"/>
            </w:tcMar>
          </w:tcPr>
          <w:p w14:paraId="6FAEE399" w14:textId="77777777" w:rsidR="003F0D73" w:rsidRPr="0098539D" w:rsidRDefault="00E56615" w:rsidP="00E56615">
            <w:pPr>
              <w:spacing w:after="0" w:line="240" w:lineRule="auto"/>
              <w:rPr>
                <w:rFonts w:asciiTheme="minorHAnsi" w:hAnsiTheme="minorHAnsi"/>
                <w:b/>
              </w:rPr>
            </w:pPr>
            <w:proofErr w:type="spellStart"/>
            <w:r w:rsidRPr="0098539D">
              <w:rPr>
                <w:rFonts w:asciiTheme="minorHAnsi" w:eastAsia="Helvetica" w:hAnsiTheme="minorHAnsi" w:cs="Helvetica"/>
                <w:b/>
              </w:rPr>
              <w:t>Brâncuși</w:t>
            </w:r>
            <w:proofErr w:type="spellEnd"/>
            <w:r w:rsidRPr="0098539D">
              <w:rPr>
                <w:rFonts w:asciiTheme="minorHAnsi" w:eastAsia="Helvetica" w:hAnsiTheme="minorHAnsi" w:cs="Helvetica"/>
                <w:b/>
              </w:rPr>
              <w:t>, Constantin (1876-1957)</w:t>
            </w:r>
          </w:p>
        </w:tc>
      </w:tr>
      <w:tr w:rsidR="00464699" w:rsidRPr="00E56615" w14:paraId="27799D78" w14:textId="77777777" w:rsidTr="00E56615">
        <w:tc>
          <w:tcPr>
            <w:tcW w:w="9016" w:type="dxa"/>
            <w:shd w:val="clear" w:color="auto" w:fill="auto"/>
            <w:tcMar>
              <w:top w:w="113" w:type="dxa"/>
              <w:bottom w:w="113" w:type="dxa"/>
            </w:tcMar>
          </w:tcPr>
          <w:p w14:paraId="76B20BBF" w14:textId="77777777" w:rsidR="00464699" w:rsidRPr="00E56615" w:rsidRDefault="00464699" w:rsidP="00E56615">
            <w:pPr>
              <w:spacing w:after="0" w:line="240" w:lineRule="auto"/>
            </w:pPr>
            <w:r w:rsidRPr="00E56615">
              <w:rPr>
                <w:rStyle w:val="PlaceholderText"/>
                <w:b/>
              </w:rPr>
              <w:t xml:space="preserve">[Enter any </w:t>
            </w:r>
            <w:r w:rsidRPr="00E56615">
              <w:rPr>
                <w:rStyle w:val="PlaceholderText"/>
                <w:b/>
                <w:i/>
              </w:rPr>
              <w:t>variant forms</w:t>
            </w:r>
            <w:r w:rsidRPr="00E56615">
              <w:rPr>
                <w:rStyle w:val="PlaceholderText"/>
                <w:b/>
              </w:rPr>
              <w:t xml:space="preserve"> of your headword – OPTIONAL]</w:t>
            </w:r>
          </w:p>
        </w:tc>
      </w:tr>
      <w:tr w:rsidR="00E85A05" w:rsidRPr="00E56615" w14:paraId="6DF05812" w14:textId="77777777" w:rsidTr="00E56615">
        <w:tc>
          <w:tcPr>
            <w:tcW w:w="9016" w:type="dxa"/>
            <w:shd w:val="clear" w:color="auto" w:fill="auto"/>
            <w:tcMar>
              <w:top w:w="113" w:type="dxa"/>
              <w:bottom w:w="113" w:type="dxa"/>
            </w:tcMar>
          </w:tcPr>
          <w:p w14:paraId="7F9ABA77" w14:textId="77777777" w:rsidR="00E85A05" w:rsidRPr="00E56615" w:rsidRDefault="00E56615" w:rsidP="0098539D">
            <w:r w:rsidRPr="00E84D13">
              <w:t xml:space="preserve">Constantin </w:t>
            </w:r>
            <w:proofErr w:type="spellStart"/>
            <w:r w:rsidRPr="00E84D13">
              <w:t>Brâncuș</w:t>
            </w:r>
            <w:r>
              <w:t>i</w:t>
            </w:r>
            <w:proofErr w:type="spellEnd"/>
            <w:r>
              <w:t xml:space="preserve"> </w:t>
            </w:r>
            <w:r w:rsidRPr="00E84D13">
              <w:t>is one of the great master</w:t>
            </w:r>
            <w:r>
              <w:t>s of modern and contemporary art</w:t>
            </w:r>
            <w:r w:rsidRPr="00E84D13">
              <w:t xml:space="preserve">. </w:t>
            </w:r>
            <w:r>
              <w:t xml:space="preserve">The influence of his work can be felt across both the avant-garde and neo-avant-garde movements. </w:t>
            </w:r>
            <w:r w:rsidRPr="00EA5C8A">
              <w:t xml:space="preserve">Although he can be considered the early master of minimalism and abstractionism, Constantin </w:t>
            </w:r>
            <w:proofErr w:type="spellStart"/>
            <w:r w:rsidRPr="00EA5C8A">
              <w:t>Brâncuși</w:t>
            </w:r>
            <w:proofErr w:type="spellEnd"/>
            <w:r w:rsidRPr="00EA5C8A">
              <w:t xml:space="preserve"> admitted to be in the search of realism in sculpture. The extensive work of the Romanian born artist was dedicated, as he claimed, to 'sculpture's own life'.</w:t>
            </w:r>
            <w:r>
              <w:t xml:space="preserve"> </w:t>
            </w:r>
            <w:r w:rsidRPr="00EA5C8A">
              <w:t xml:space="preserve">Born in the </w:t>
            </w:r>
            <w:r>
              <w:t xml:space="preserve">Romanian </w:t>
            </w:r>
            <w:r w:rsidRPr="00EA5C8A">
              <w:t xml:space="preserve">village of </w:t>
            </w:r>
            <w:proofErr w:type="spellStart"/>
            <w:r w:rsidRPr="00EA5C8A">
              <w:t>Hobița</w:t>
            </w:r>
            <w:proofErr w:type="spellEnd"/>
            <w:r w:rsidRPr="00EA5C8A">
              <w:t xml:space="preserve"> in 1876, </w:t>
            </w:r>
            <w:proofErr w:type="spellStart"/>
            <w:r w:rsidRPr="00EA5C8A">
              <w:t>Brâncuși</w:t>
            </w:r>
            <w:proofErr w:type="spellEnd"/>
            <w:r w:rsidRPr="00EA5C8A">
              <w:t xml:space="preserve"> </w:t>
            </w:r>
            <w:r>
              <w:t>was</w:t>
            </w:r>
            <w:r w:rsidRPr="00EA5C8A">
              <w:t xml:space="preserve"> profoundly influenced by vernacular philosophy as well as by traditional carving techniques, reflecting a rising European sensibility for the ancestral treatment of the form.</w:t>
            </w:r>
          </w:p>
        </w:tc>
      </w:tr>
      <w:tr w:rsidR="003F0D73" w:rsidRPr="00E56615" w14:paraId="1BF6F9A7" w14:textId="77777777" w:rsidTr="00E56615">
        <w:tc>
          <w:tcPr>
            <w:tcW w:w="9016" w:type="dxa"/>
            <w:shd w:val="clear" w:color="auto" w:fill="auto"/>
            <w:tcMar>
              <w:top w:w="113" w:type="dxa"/>
              <w:bottom w:w="113" w:type="dxa"/>
            </w:tcMar>
          </w:tcPr>
          <w:p w14:paraId="386F99A9" w14:textId="77777777" w:rsidR="00545632" w:rsidRPr="0098539D" w:rsidRDefault="00545632" w:rsidP="0098539D">
            <w:r w:rsidRPr="00E84D13">
              <w:t xml:space="preserve">Constantin </w:t>
            </w:r>
            <w:proofErr w:type="spellStart"/>
            <w:r w:rsidRPr="00E84D13">
              <w:t>Brâncuș</w:t>
            </w:r>
            <w:r>
              <w:t>i</w:t>
            </w:r>
            <w:proofErr w:type="spellEnd"/>
            <w:r>
              <w:t xml:space="preserve"> </w:t>
            </w:r>
            <w:r w:rsidRPr="00E84D13">
              <w:t>is one of the great master</w:t>
            </w:r>
            <w:r>
              <w:t>s of modern and contemporary art</w:t>
            </w:r>
            <w:r w:rsidRPr="00E84D13">
              <w:t xml:space="preserve">. </w:t>
            </w:r>
            <w:r>
              <w:t xml:space="preserve">The influence of his work can be felt across both the avant-garde and neo-avant-garde movements. </w:t>
            </w:r>
            <w:r w:rsidRPr="00EA5C8A">
              <w:t xml:space="preserve">Although he can be considered the early master of minimalism and abstractionism, Constantin </w:t>
            </w:r>
            <w:proofErr w:type="spellStart"/>
            <w:r w:rsidRPr="00EA5C8A">
              <w:t>Brâncuși</w:t>
            </w:r>
            <w:proofErr w:type="spellEnd"/>
            <w:r w:rsidRPr="00EA5C8A">
              <w:t xml:space="preserve"> admitted to be in the search of realism in sculpture. The extensive work of the Romanian born artist was dedicated, as he claimed, to 'sculpture's own life'.</w:t>
            </w:r>
            <w:r>
              <w:t xml:space="preserve"> </w:t>
            </w:r>
            <w:r w:rsidRPr="00EA5C8A">
              <w:t xml:space="preserve">Born in the </w:t>
            </w:r>
            <w:r>
              <w:t xml:space="preserve">Romanian </w:t>
            </w:r>
            <w:r w:rsidRPr="00EA5C8A">
              <w:t xml:space="preserve">village of </w:t>
            </w:r>
            <w:proofErr w:type="spellStart"/>
            <w:r w:rsidRPr="00EA5C8A">
              <w:t>Hobița</w:t>
            </w:r>
            <w:proofErr w:type="spellEnd"/>
            <w:r w:rsidRPr="00EA5C8A">
              <w:t xml:space="preserve"> in 1876, </w:t>
            </w:r>
            <w:proofErr w:type="spellStart"/>
            <w:r w:rsidRPr="00EA5C8A">
              <w:t>Brâncuși</w:t>
            </w:r>
            <w:proofErr w:type="spellEnd"/>
            <w:r w:rsidRPr="00EA5C8A">
              <w:t xml:space="preserve"> </w:t>
            </w:r>
            <w:r>
              <w:t>was</w:t>
            </w:r>
            <w:r w:rsidRPr="00EA5C8A">
              <w:t xml:space="preserve"> profoundly influenced by vernacular philosophy as well as by traditional carving techniques, reflecting a rising European sensibility for the ancestral treatment of the form. In 1903 </w:t>
            </w:r>
            <w:proofErr w:type="spellStart"/>
            <w:r w:rsidRPr="00EA5C8A">
              <w:t>Brâncuși</w:t>
            </w:r>
            <w:proofErr w:type="spellEnd"/>
            <w:r w:rsidRPr="00EA5C8A">
              <w:t xml:space="preserve"> left for Paris on foot and was admitted there to </w:t>
            </w:r>
            <w:proofErr w:type="spellStart"/>
            <w:r w:rsidRPr="00EA5C8A">
              <w:t>École</w:t>
            </w:r>
            <w:proofErr w:type="spellEnd"/>
            <w:r w:rsidRPr="00EA5C8A">
              <w:t xml:space="preserve"> </w:t>
            </w:r>
            <w:proofErr w:type="spellStart"/>
            <w:r w:rsidRPr="00EA5C8A">
              <w:t>Nationale</w:t>
            </w:r>
            <w:proofErr w:type="spellEnd"/>
            <w:r w:rsidRPr="00EA5C8A">
              <w:t xml:space="preserve"> des Beaux-Arts. Refusing to work under </w:t>
            </w:r>
            <w:proofErr w:type="spellStart"/>
            <w:r w:rsidRPr="00EA5C8A">
              <w:t>Auguste</w:t>
            </w:r>
            <w:proofErr w:type="spellEnd"/>
            <w:r w:rsidRPr="00EA5C8A">
              <w:t xml:space="preserve"> Rodin, he started to develop his own body of work: </w:t>
            </w:r>
            <w:proofErr w:type="spellStart"/>
            <w:r w:rsidRPr="00EA5C8A">
              <w:t>essentialised</w:t>
            </w:r>
            <w:proofErr w:type="spellEnd"/>
            <w:r w:rsidRPr="00EA5C8A">
              <w:t xml:space="preserve"> forms which condense the search for an archetypal humanism. </w:t>
            </w:r>
            <w:r w:rsidRPr="00EA5C8A">
              <w:rPr>
                <w:i/>
              </w:rPr>
              <w:t>The Kiss</w:t>
            </w:r>
            <w:r w:rsidRPr="00EA5C8A">
              <w:t xml:space="preserve"> (1907) was one of his first sculptures, which introduced his specific technique of direct carving</w:t>
            </w:r>
            <w:r>
              <w:t xml:space="preserve">. </w:t>
            </w:r>
            <w:proofErr w:type="spellStart"/>
            <w:r w:rsidRPr="00EA5C8A">
              <w:t>Brâncuși</w:t>
            </w:r>
            <w:proofErr w:type="spellEnd"/>
            <w:r w:rsidRPr="00EA5C8A">
              <w:t xml:space="preserve"> chose</w:t>
            </w:r>
            <w:r>
              <w:rPr>
                <w:b/>
              </w:rPr>
              <w:t xml:space="preserve"> </w:t>
            </w:r>
            <w:r>
              <w:t>p</w:t>
            </w:r>
            <w:r w:rsidRPr="00EA5C8A">
              <w:t xml:space="preserve">rimordial concepts as titles </w:t>
            </w:r>
            <w:r>
              <w:t>(</w:t>
            </w:r>
            <w:proofErr w:type="spellStart"/>
            <w:r>
              <w:t>e.</w:t>
            </w:r>
            <w:proofErr w:type="gramStart"/>
            <w:r>
              <w:t>g.</w:t>
            </w:r>
            <w:r w:rsidRPr="00EA5C8A">
              <w:rPr>
                <w:i/>
                <w:iCs/>
              </w:rPr>
              <w:t>Child</w:t>
            </w:r>
            <w:proofErr w:type="spellEnd"/>
            <w:proofErr w:type="gramEnd"/>
            <w:r w:rsidRPr="00EA5C8A">
              <w:t xml:space="preserve">, </w:t>
            </w:r>
            <w:r w:rsidRPr="00EA5C8A">
              <w:rPr>
                <w:i/>
                <w:iCs/>
              </w:rPr>
              <w:t>Fish</w:t>
            </w:r>
            <w:r w:rsidRPr="00EA5C8A">
              <w:t xml:space="preserve">, </w:t>
            </w:r>
            <w:r w:rsidRPr="00EA5C8A">
              <w:rPr>
                <w:i/>
                <w:iCs/>
              </w:rPr>
              <w:t>Prayer</w:t>
            </w:r>
            <w:r w:rsidRPr="00EA5C8A">
              <w:t xml:space="preserve">, </w:t>
            </w:r>
            <w:r w:rsidRPr="00EA5C8A">
              <w:rPr>
                <w:i/>
                <w:iCs/>
              </w:rPr>
              <w:t>Pride</w:t>
            </w:r>
            <w:r w:rsidRPr="00EA5C8A">
              <w:t>) w</w:t>
            </w:r>
            <w:r>
              <w:t>hich</w:t>
            </w:r>
            <w:r w:rsidRPr="00EA5C8A">
              <w:t xml:space="preserve"> reflect</w:t>
            </w:r>
            <w:r>
              <w:t>ed</w:t>
            </w:r>
            <w:r w:rsidRPr="00EA5C8A">
              <w:t xml:space="preserve"> his spiritual quest in art. </w:t>
            </w:r>
            <w:r w:rsidRPr="00E84D13">
              <w:t xml:space="preserve">In 1907, </w:t>
            </w:r>
            <w:proofErr w:type="spellStart"/>
            <w:r w:rsidRPr="00E84D13">
              <w:t>Brâncuși</w:t>
            </w:r>
            <w:proofErr w:type="spellEnd"/>
            <w:r w:rsidRPr="00E84D13">
              <w:t xml:space="preserve"> work</w:t>
            </w:r>
            <w:r>
              <w:t>ed</w:t>
            </w:r>
            <w:r w:rsidRPr="00E84D13">
              <w:t xml:space="preserve"> with Guillaume Apollinaire, Fernand Léger, </w:t>
            </w:r>
            <w:proofErr w:type="spellStart"/>
            <w:r w:rsidRPr="00E84D13">
              <w:t>Amedeo</w:t>
            </w:r>
            <w:proofErr w:type="spellEnd"/>
            <w:r w:rsidRPr="00E84D13">
              <w:t xml:space="preserve"> Modigliani and Marcel Duchamp in Montparnasse. In 1913, the first exhibition of Modern Art </w:t>
            </w:r>
            <w:proofErr w:type="gramStart"/>
            <w:r w:rsidRPr="00E84D13">
              <w:t>In</w:t>
            </w:r>
            <w:proofErr w:type="gramEnd"/>
            <w:r w:rsidRPr="00E84D13">
              <w:t xml:space="preserve"> </w:t>
            </w:r>
            <w:r w:rsidRPr="0098539D">
              <w:t xml:space="preserve">the United States – </w:t>
            </w:r>
            <w:r w:rsidRPr="0098539D">
              <w:rPr>
                <w:i/>
              </w:rPr>
              <w:t>The Armory Show</w:t>
            </w:r>
            <w:r w:rsidRPr="0098539D">
              <w:t xml:space="preserve"> – featured his work.</w:t>
            </w:r>
          </w:p>
          <w:p w14:paraId="2C66AA42" w14:textId="77777777" w:rsidR="00545632" w:rsidRPr="0098539D" w:rsidDel="008042E9" w:rsidRDefault="00545632" w:rsidP="0098539D">
            <w:pPr>
              <w:rPr>
                <w:rFonts w:ascii="Helvetica" w:eastAsia="Helvetica" w:hAnsi="Helvetica" w:cs="Helvetica"/>
              </w:rPr>
            </w:pPr>
            <w:proofErr w:type="spellStart"/>
            <w:r w:rsidRPr="0098539D">
              <w:rPr>
                <w:rFonts w:eastAsia="Helvetica" w:cs="Helvetica"/>
              </w:rPr>
              <w:t>Brâncuși’s</w:t>
            </w:r>
            <w:proofErr w:type="spellEnd"/>
            <w:r w:rsidRPr="0098539D">
              <w:rPr>
                <w:rFonts w:eastAsia="Helvetica" w:cs="Helvetica"/>
              </w:rPr>
              <w:t xml:space="preserve"> organic forms, the integration of the pedestal into the body of the work, the predilection for tactile textures and purity of form, reveal the influence of African art, the oriental philosophy he was preoccupied with and the teachings of Plato</w:t>
            </w:r>
            <w:r w:rsidRPr="0098539D">
              <w:rPr>
                <w:rFonts w:ascii="Helvetica" w:eastAsia="Helvetica" w:hAnsi="Helvetica" w:cs="Helvetica"/>
              </w:rPr>
              <w:t>.</w:t>
            </w:r>
          </w:p>
          <w:p w14:paraId="799E72DA" w14:textId="77777777" w:rsidR="00545632" w:rsidRPr="00EA5C8A" w:rsidRDefault="00545632" w:rsidP="0098539D">
            <w:proofErr w:type="spellStart"/>
            <w:r w:rsidRPr="0098539D">
              <w:t>Brâncuși</w:t>
            </w:r>
            <w:proofErr w:type="spellEnd"/>
            <w:r w:rsidRPr="0098539D">
              <w:rPr>
                <w:color w:val="000000"/>
              </w:rPr>
              <w:t xml:space="preserve"> returned to Romania in 1938 where he began the</w:t>
            </w:r>
            <w:r w:rsidRPr="0098539D">
              <w:t xml:space="preserve"> Sculptural Ensemble of </w:t>
            </w:r>
            <w:proofErr w:type="spellStart"/>
            <w:r w:rsidRPr="0098539D">
              <w:t>Târgu</w:t>
            </w:r>
            <w:proofErr w:type="spellEnd"/>
            <w:r w:rsidRPr="0098539D">
              <w:t xml:space="preserve"> Jiu, an open air ensemble, conceived by him as </w:t>
            </w:r>
            <w:proofErr w:type="gramStart"/>
            <w:r w:rsidRPr="0098539D">
              <w:t>a</w:t>
            </w:r>
            <w:proofErr w:type="gramEnd"/>
            <w:r w:rsidRPr="0098539D">
              <w:t xml:space="preserve"> homage to the </w:t>
            </w:r>
            <w:r w:rsidRPr="0098539D">
              <w:rPr>
                <w:rStyle w:val="Hyperlink"/>
                <w:rFonts w:ascii="Helvetica" w:eastAsia="Helvetica" w:hAnsi="Helvetica" w:cs="Helvetica"/>
                <w:color w:val="000000"/>
                <w:u w:val="none"/>
              </w:rPr>
              <w:t>Romanian</w:t>
            </w:r>
            <w:r w:rsidRPr="0098539D">
              <w:t xml:space="preserve"> heroes</w:t>
            </w:r>
            <w:r w:rsidRPr="00EA5C8A">
              <w:t xml:space="preserve"> of the </w:t>
            </w:r>
            <w:r w:rsidRPr="00EA5C8A">
              <w:rPr>
                <w:color w:val="000000"/>
              </w:rPr>
              <w:t xml:space="preserve">First World War. The three pieces - </w:t>
            </w:r>
            <w:r w:rsidRPr="00EA5C8A">
              <w:t xml:space="preserve">the </w:t>
            </w:r>
            <w:r w:rsidRPr="00EA5C8A">
              <w:rPr>
                <w:i/>
                <w:iCs/>
              </w:rPr>
              <w:t>Table of Silence</w:t>
            </w:r>
            <w:r w:rsidRPr="00EA5C8A">
              <w:t xml:space="preserve">, the </w:t>
            </w:r>
            <w:r w:rsidRPr="00EA5C8A">
              <w:rPr>
                <w:i/>
                <w:iCs/>
              </w:rPr>
              <w:t>Gate of the Kiss</w:t>
            </w:r>
            <w:r w:rsidRPr="00EA5C8A">
              <w:t xml:space="preserve"> and the </w:t>
            </w:r>
            <w:r w:rsidRPr="00EA5C8A">
              <w:rPr>
                <w:i/>
              </w:rPr>
              <w:t>Endless</w:t>
            </w:r>
            <w:r>
              <w:t xml:space="preserve"> </w:t>
            </w:r>
            <w:r w:rsidRPr="00EA5C8A">
              <w:rPr>
                <w:i/>
                <w:iCs/>
              </w:rPr>
              <w:t xml:space="preserve">Column– </w:t>
            </w:r>
            <w:r w:rsidRPr="00EA5C8A">
              <w:t xml:space="preserve">represent symbolic forms with which </w:t>
            </w:r>
            <w:proofErr w:type="spellStart"/>
            <w:r w:rsidRPr="00EA5C8A">
              <w:rPr>
                <w:iCs/>
              </w:rPr>
              <w:t>Brâncuși</w:t>
            </w:r>
            <w:proofErr w:type="spellEnd"/>
            <w:r w:rsidRPr="00EA5C8A">
              <w:rPr>
                <w:iCs/>
              </w:rPr>
              <w:t xml:space="preserve"> </w:t>
            </w:r>
            <w:r w:rsidRPr="00EA5C8A">
              <w:t xml:space="preserve">had </w:t>
            </w:r>
            <w:r>
              <w:t xml:space="preserve">previously </w:t>
            </w:r>
            <w:r w:rsidRPr="00EA5C8A">
              <w:t xml:space="preserve">worked: </w:t>
            </w:r>
            <w:proofErr w:type="spellStart"/>
            <w:r w:rsidRPr="00EA5C8A">
              <w:t>Brâncuși</w:t>
            </w:r>
            <w:proofErr w:type="spellEnd"/>
            <w:r w:rsidRPr="00EA5C8A">
              <w:t xml:space="preserve"> affirmed </w:t>
            </w:r>
            <w:r>
              <w:t>that the</w:t>
            </w:r>
            <w:r w:rsidRPr="00E84D13">
              <w:t xml:space="preserve"> </w:t>
            </w:r>
            <w:r w:rsidRPr="00E84D13">
              <w:lastRenderedPageBreak/>
              <w:t xml:space="preserve">rhomboidal modules </w:t>
            </w:r>
            <w:r>
              <w:t>originated</w:t>
            </w:r>
            <w:r w:rsidRPr="00EA5C8A">
              <w:t xml:space="preserve"> in a traditional press screw. Along with historic references attached to each of the three pieces, various religious and esoteric symbolisms have been attributed to the column as </w:t>
            </w:r>
            <w:proofErr w:type="gramStart"/>
            <w:r w:rsidRPr="00EA5C8A">
              <w:t>an axis mundi</w:t>
            </w:r>
            <w:proofErr w:type="gramEnd"/>
            <w:r w:rsidRPr="00EA5C8A">
              <w:t xml:space="preserve">, to the stone </w:t>
            </w:r>
            <w:r w:rsidRPr="00EA5C8A">
              <w:rPr>
                <w:i/>
              </w:rPr>
              <w:t>Table of Silence</w:t>
            </w:r>
            <w:r w:rsidRPr="00EA5C8A">
              <w:t xml:space="preserve"> with twelve seats (as the twelve apostles) and to the entrance gate to the ensemble, the </w:t>
            </w:r>
            <w:r w:rsidRPr="00EA5C8A">
              <w:rPr>
                <w:i/>
              </w:rPr>
              <w:t>Gate of Kiss</w:t>
            </w:r>
            <w:r w:rsidRPr="00EA5C8A">
              <w:t xml:space="preserve">, as a gate to the transcendent.  </w:t>
            </w:r>
            <w:r>
              <w:t xml:space="preserve">Shortly after completing the piece, </w:t>
            </w:r>
            <w:proofErr w:type="spellStart"/>
            <w:r w:rsidRPr="00EA5C8A">
              <w:t>Brâncuși</w:t>
            </w:r>
            <w:proofErr w:type="spellEnd"/>
            <w:r w:rsidRPr="00EA5C8A">
              <w:t xml:space="preserve"> </w:t>
            </w:r>
            <w:r>
              <w:t xml:space="preserve">was </w:t>
            </w:r>
            <w:r w:rsidRPr="00EA5C8A">
              <w:t>declared an enemy of the communist regime</w:t>
            </w:r>
            <w:r>
              <w:t xml:space="preserve"> for</w:t>
            </w:r>
            <w:r w:rsidRPr="00EA5C8A">
              <w:t xml:space="preserve"> not representing </w:t>
            </w:r>
            <w:r>
              <w:t xml:space="preserve">the </w:t>
            </w:r>
            <w:r w:rsidRPr="00EA5C8A">
              <w:t>official 'social realist' style</w:t>
            </w:r>
            <w:r>
              <w:t xml:space="preserve"> in his work</w:t>
            </w:r>
            <w:r w:rsidRPr="00EA5C8A">
              <w:t xml:space="preserve">. In 1964, after his death, he was 'rehabilitated' and his work in </w:t>
            </w:r>
            <w:proofErr w:type="spellStart"/>
            <w:r w:rsidRPr="00EA5C8A">
              <w:t>Târgu</w:t>
            </w:r>
            <w:proofErr w:type="spellEnd"/>
            <w:r w:rsidRPr="00EA5C8A">
              <w:t xml:space="preserve"> Jiu was </w:t>
            </w:r>
            <w:r w:rsidRPr="000D7B82">
              <w:t>restored</w:t>
            </w:r>
            <w:r w:rsidRPr="00E505F8">
              <w:t xml:space="preserve"> </w:t>
            </w:r>
            <w:r w:rsidRPr="00EA5C8A">
              <w:t>for the first time.</w:t>
            </w:r>
          </w:p>
          <w:p w14:paraId="4EA8FCF8" w14:textId="77777777" w:rsidR="003F0D73" w:rsidRDefault="00545632" w:rsidP="0098539D">
            <w:r w:rsidRPr="00EA5C8A">
              <w:rPr>
                <w:color w:val="000000"/>
              </w:rPr>
              <w:t xml:space="preserve">As a consequence of the refusal of the communist Romanian regime to accept the pieces which </w:t>
            </w:r>
            <w:proofErr w:type="spellStart"/>
            <w:r w:rsidRPr="00EA5C8A">
              <w:t>Brâncuși</w:t>
            </w:r>
            <w:proofErr w:type="spellEnd"/>
            <w:r w:rsidRPr="00EA5C8A">
              <w:t xml:space="preserve"> left after his death in his atelier, the Centre Pompidou in Paris</w:t>
            </w:r>
            <w:r>
              <w:t xml:space="preserve"> took custody of the work,</w:t>
            </w:r>
            <w:r w:rsidRPr="00EA5C8A">
              <w:t xml:space="preserve"> wh</w:t>
            </w:r>
            <w:r>
              <w:t>ere</w:t>
            </w:r>
            <w:r w:rsidRPr="00EA5C8A">
              <w:t xml:space="preserve"> </w:t>
            </w:r>
            <w:r>
              <w:t xml:space="preserve">they remain on </w:t>
            </w:r>
            <w:r w:rsidRPr="00EA5C8A">
              <w:t xml:space="preserve">permanent display. </w:t>
            </w:r>
            <w:proofErr w:type="spellStart"/>
            <w:r w:rsidRPr="00E84D13">
              <w:rPr>
                <w:i/>
                <w:iCs/>
              </w:rPr>
              <w:t>Măiastra</w:t>
            </w:r>
            <w:proofErr w:type="spellEnd"/>
            <w:r w:rsidRPr="00E84D13">
              <w:rPr>
                <w:color w:val="000000"/>
              </w:rPr>
              <w:t xml:space="preserve"> </w:t>
            </w:r>
            <w:r>
              <w:rPr>
                <w:color w:val="000000"/>
              </w:rPr>
              <w:t xml:space="preserve">(1911) </w:t>
            </w:r>
            <w:r w:rsidRPr="00E84D13">
              <w:rPr>
                <w:color w:val="000000"/>
              </w:rPr>
              <w:t xml:space="preserve">is considered his masterpiece: it reproduces a celestial being from Romanian mythology, similar to the Persian </w:t>
            </w:r>
            <w:proofErr w:type="spellStart"/>
            <w:r w:rsidRPr="00E84D13">
              <w:rPr>
                <w:color w:val="000000"/>
              </w:rPr>
              <w:t>Simurgh</w:t>
            </w:r>
            <w:proofErr w:type="spellEnd"/>
            <w:r w:rsidRPr="00E84D13">
              <w:rPr>
                <w:color w:val="000000"/>
              </w:rPr>
              <w:t>/Phoenix</w:t>
            </w:r>
            <w:r>
              <w:rPr>
                <w:color w:val="000000"/>
              </w:rPr>
              <w:t xml:space="preserve">, </w:t>
            </w:r>
            <w:r w:rsidRPr="00E84D13">
              <w:rPr>
                <w:color w:val="000000"/>
              </w:rPr>
              <w:t>the light bird</w:t>
            </w:r>
            <w:r>
              <w:rPr>
                <w:color w:val="000000"/>
              </w:rPr>
              <w:t xml:space="preserve"> from the Other World. From 1911</w:t>
            </w:r>
            <w:r w:rsidRPr="00E84D13">
              <w:rPr>
                <w:color w:val="000000"/>
              </w:rPr>
              <w:t xml:space="preserve"> </w:t>
            </w:r>
            <w:r>
              <w:rPr>
                <w:color w:val="000000"/>
              </w:rPr>
              <w:t>until his death</w:t>
            </w:r>
            <w:r w:rsidRPr="00E84D13">
              <w:rPr>
                <w:color w:val="000000"/>
              </w:rPr>
              <w:t>,</w:t>
            </w:r>
            <w:r>
              <w:rPr>
                <w:color w:val="000000"/>
              </w:rPr>
              <w:t xml:space="preserve"> he worked</w:t>
            </w:r>
            <w:r w:rsidRPr="00E84D13">
              <w:rPr>
                <w:color w:val="000000"/>
              </w:rPr>
              <w:t xml:space="preserve"> on more than </w:t>
            </w:r>
            <w:r>
              <w:rPr>
                <w:color w:val="000000"/>
              </w:rPr>
              <w:t>twenty</w:t>
            </w:r>
            <w:r w:rsidRPr="00E84D13">
              <w:rPr>
                <w:color w:val="000000"/>
              </w:rPr>
              <w:t xml:space="preserve"> versions of this piece</w:t>
            </w:r>
            <w:r>
              <w:rPr>
                <w:color w:val="000000"/>
              </w:rPr>
              <w:t>;</w:t>
            </w:r>
            <w:r w:rsidRPr="00E84D13">
              <w:rPr>
                <w:color w:val="000000"/>
              </w:rPr>
              <w:t xml:space="preserve"> with the repetit</w:t>
            </w:r>
            <w:r>
              <w:rPr>
                <w:color w:val="000000"/>
              </w:rPr>
              <w:t>ion</w:t>
            </w:r>
            <w:r w:rsidRPr="00E84D13">
              <w:rPr>
                <w:color w:val="000000"/>
              </w:rPr>
              <w:t xml:space="preserve"> of his </w:t>
            </w:r>
            <w:bookmarkStart w:id="0" w:name="_GoBack"/>
            <w:bookmarkEnd w:id="0"/>
            <w:r w:rsidRPr="00E84D13">
              <w:rPr>
                <w:color w:val="000000"/>
              </w:rPr>
              <w:t xml:space="preserve">fundamental shapes, </w:t>
            </w:r>
            <w:r>
              <w:rPr>
                <w:color w:val="000000"/>
              </w:rPr>
              <w:t xml:space="preserve">he introduced </w:t>
            </w:r>
            <w:r w:rsidRPr="00E84D13">
              <w:rPr>
                <w:color w:val="000000"/>
              </w:rPr>
              <w:t xml:space="preserve">the notion of seriality to modern art. </w:t>
            </w:r>
            <w:r>
              <w:rPr>
                <w:color w:val="000000"/>
              </w:rPr>
              <w:t xml:space="preserve">He was also responsible for incorporating the plinth into the object, making it an integral part of the work.  </w:t>
            </w:r>
            <w:r>
              <w:t>H</w:t>
            </w:r>
            <w:r w:rsidRPr="00EA5C8A">
              <w:t>is famous quote 'Simplicity is complexity resolved'</w:t>
            </w:r>
            <w:r>
              <w:t xml:space="preserve"> can be considered paradigmatic for </w:t>
            </w:r>
            <w:r w:rsidRPr="00E84D13">
              <w:t xml:space="preserve">the </w:t>
            </w:r>
            <w:r>
              <w:t>avant-gardes and neo-</w:t>
            </w:r>
            <w:proofErr w:type="spellStart"/>
            <w:r>
              <w:t>avantgardes</w:t>
            </w:r>
            <w:proofErr w:type="spellEnd"/>
            <w:r>
              <w:t>.</w:t>
            </w:r>
          </w:p>
          <w:p w14:paraId="43FDA5F6" w14:textId="77777777" w:rsidR="00997EF1" w:rsidRDefault="00997EF1" w:rsidP="00545632">
            <w:pPr>
              <w:spacing w:after="0" w:line="240" w:lineRule="auto"/>
              <w:rPr>
                <w:rFonts w:ascii="Helvetica" w:hAnsi="Helvetica"/>
              </w:rPr>
            </w:pPr>
          </w:p>
          <w:p w14:paraId="74D4AF79" w14:textId="77777777" w:rsidR="007A7E1C" w:rsidRDefault="00997EF1" w:rsidP="0098539D">
            <w:r>
              <w:t xml:space="preserve">File: </w:t>
            </w:r>
            <w:r w:rsidR="007A7E1C">
              <w:t>Brancusi.jpg</w:t>
            </w:r>
          </w:p>
          <w:p w14:paraId="1E5C9E62" w14:textId="77777777" w:rsidR="00997EF1" w:rsidRDefault="007A7E1C" w:rsidP="007A7E1C">
            <w:pPr>
              <w:pStyle w:val="Caption"/>
              <w:spacing w:after="0"/>
              <w:rPr>
                <w:rFonts w:ascii="Helvetica" w:hAnsi="Helvetica"/>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991CC3">
              <w:t xml:space="preserve">Brancusi, </w:t>
            </w:r>
            <w:proofErr w:type="spellStart"/>
            <w:r w:rsidRPr="00991CC3">
              <w:t>Maiastra</w:t>
            </w:r>
            <w:proofErr w:type="spellEnd"/>
            <w:r w:rsidRPr="00991CC3">
              <w:t xml:space="preserve"> (1911)</w:t>
            </w:r>
          </w:p>
          <w:p w14:paraId="6234DEF4" w14:textId="77777777" w:rsidR="00997EF1" w:rsidRDefault="00997EF1" w:rsidP="0098539D">
            <w:pPr>
              <w:rPr>
                <w:lang w:val="en-US"/>
              </w:rPr>
            </w:pPr>
            <w:r>
              <w:t xml:space="preserve">Source: </w:t>
            </w:r>
            <w:hyperlink r:id="rId8" w:history="1">
              <w:r w:rsidR="0098539D" w:rsidRPr="00D87A17">
                <w:rPr>
                  <w:rStyle w:val="Hyperlink"/>
                  <w:lang w:val="en-US"/>
                </w:rPr>
                <w:t>https://www.tate.org.uk/art/artworks/brancusi-maiastra-t017</w:t>
              </w:r>
              <w:r w:rsidR="0098539D" w:rsidRPr="00D87A17">
                <w:rPr>
                  <w:rStyle w:val="Hyperlink"/>
                  <w:lang w:val="en-US"/>
                </w:rPr>
                <w:t>5</w:t>
              </w:r>
              <w:r w:rsidR="0098539D" w:rsidRPr="00D87A17">
                <w:rPr>
                  <w:rStyle w:val="Hyperlink"/>
                  <w:lang w:val="en-US"/>
                </w:rPr>
                <w:t>1</w:t>
              </w:r>
            </w:hyperlink>
          </w:p>
          <w:p w14:paraId="215A302D" w14:textId="77777777" w:rsidR="0098539D" w:rsidRPr="00E56615" w:rsidRDefault="0098539D" w:rsidP="0098539D"/>
        </w:tc>
      </w:tr>
      <w:tr w:rsidR="003235A7" w:rsidRPr="00E56615" w14:paraId="1E4E97D4" w14:textId="77777777" w:rsidTr="00E56615">
        <w:tc>
          <w:tcPr>
            <w:tcW w:w="9016" w:type="dxa"/>
            <w:shd w:val="clear" w:color="auto" w:fill="auto"/>
          </w:tcPr>
          <w:p w14:paraId="6CD44432" w14:textId="77777777" w:rsidR="003235A7" w:rsidRPr="00E56615" w:rsidRDefault="003235A7" w:rsidP="00E56615">
            <w:pPr>
              <w:spacing w:after="0" w:line="240" w:lineRule="auto"/>
            </w:pPr>
            <w:r w:rsidRPr="00E56615">
              <w:rPr>
                <w:u w:val="single"/>
              </w:rPr>
              <w:lastRenderedPageBreak/>
              <w:t>Further reading</w:t>
            </w:r>
            <w:r w:rsidRPr="00E56615">
              <w:t>:</w:t>
            </w:r>
          </w:p>
          <w:p w14:paraId="26492BC6" w14:textId="77777777" w:rsidR="00711C28" w:rsidRDefault="00D633C5" w:rsidP="0098539D">
            <w:sdt>
              <w:sdtPr>
                <w:id w:val="-287813985"/>
                <w:citation/>
              </w:sdtPr>
              <w:sdtEndPr/>
              <w:sdtContent>
                <w:r w:rsidR="00711C28">
                  <w:fldChar w:fldCharType="begin"/>
                </w:r>
                <w:r w:rsidR="00711C28">
                  <w:rPr>
                    <w:lang w:val="en-CA"/>
                  </w:rPr>
                  <w:instrText xml:space="preserve"> CITATION Bec07 \l 4105 </w:instrText>
                </w:r>
                <w:r w:rsidR="00711C28">
                  <w:fldChar w:fldCharType="separate"/>
                </w:r>
                <w:r w:rsidR="00711C28" w:rsidRPr="00711C28">
                  <w:rPr>
                    <w:noProof/>
                    <w:lang w:val="en-CA"/>
                  </w:rPr>
                  <w:t>(Beck)</w:t>
                </w:r>
                <w:r w:rsidR="00711C28">
                  <w:fldChar w:fldCharType="end"/>
                </w:r>
              </w:sdtContent>
            </w:sdt>
          </w:p>
          <w:p w14:paraId="60211D46" w14:textId="77777777" w:rsidR="003235A7" w:rsidRDefault="00D633C5" w:rsidP="0098539D">
            <w:sdt>
              <w:sdtPr>
                <w:id w:val="-1915458771"/>
                <w:citation/>
              </w:sdtPr>
              <w:sdtEndPr/>
              <w:sdtContent>
                <w:r w:rsidR="00B14A15">
                  <w:fldChar w:fldCharType="begin"/>
                </w:r>
                <w:r w:rsidR="00B14A15">
                  <w:rPr>
                    <w:lang w:val="en-CA"/>
                  </w:rPr>
                  <w:instrText xml:space="preserve"> CITATION Gei69 \l 4105 </w:instrText>
                </w:r>
                <w:r w:rsidR="00B14A15">
                  <w:fldChar w:fldCharType="separate"/>
                </w:r>
                <w:r w:rsidR="00B14A15" w:rsidRPr="00B14A15">
                  <w:rPr>
                    <w:noProof/>
                    <w:lang w:val="en-CA"/>
                  </w:rPr>
                  <w:t>(Geist)</w:t>
                </w:r>
                <w:r w:rsidR="00B14A15">
                  <w:fldChar w:fldCharType="end"/>
                </w:r>
              </w:sdtContent>
            </w:sdt>
          </w:p>
          <w:p w14:paraId="716CF82B" w14:textId="77777777" w:rsidR="006C7539" w:rsidRDefault="00D633C5" w:rsidP="0098539D">
            <w:sdt>
              <w:sdtPr>
                <w:id w:val="826635610"/>
                <w:citation/>
              </w:sdtPr>
              <w:sdtEndPr/>
              <w:sdtContent>
                <w:r w:rsidR="006C7539">
                  <w:fldChar w:fldCharType="begin"/>
                </w:r>
                <w:r w:rsidR="006C7539">
                  <w:rPr>
                    <w:lang w:val="en-CA"/>
                  </w:rPr>
                  <w:instrText xml:space="preserve"> CITATION Gie59 \l 4105 </w:instrText>
                </w:r>
                <w:r w:rsidR="006C7539">
                  <w:fldChar w:fldCharType="separate"/>
                </w:r>
                <w:r w:rsidR="006C7539" w:rsidRPr="006C7539">
                  <w:rPr>
                    <w:noProof/>
                    <w:lang w:val="en-CA"/>
                  </w:rPr>
                  <w:t>(Giedion-Welcker)</w:t>
                </w:r>
                <w:r w:rsidR="006C7539">
                  <w:fldChar w:fldCharType="end"/>
                </w:r>
              </w:sdtContent>
            </w:sdt>
          </w:p>
          <w:p w14:paraId="7C797F7B" w14:textId="77777777" w:rsidR="00AE0B0E" w:rsidRDefault="00D633C5" w:rsidP="0098539D">
            <w:sdt>
              <w:sdtPr>
                <w:id w:val="-674493192"/>
                <w:citation/>
              </w:sdtPr>
              <w:sdtEndPr/>
              <w:sdtContent>
                <w:r w:rsidR="00AE0B0E">
                  <w:fldChar w:fldCharType="begin"/>
                </w:r>
                <w:r w:rsidR="00AE0B0E">
                  <w:rPr>
                    <w:lang w:val="en-CA"/>
                  </w:rPr>
                  <w:instrText xml:space="preserve"> CITATION Gim04 \l 4105 </w:instrText>
                </w:r>
                <w:r w:rsidR="00AE0B0E">
                  <w:fldChar w:fldCharType="separate"/>
                </w:r>
                <w:r w:rsidR="00AE0B0E" w:rsidRPr="00AE0B0E">
                  <w:rPr>
                    <w:noProof/>
                    <w:lang w:val="en-CA"/>
                  </w:rPr>
                  <w:t>(Gimenez and Matthew)</w:t>
                </w:r>
                <w:r w:rsidR="00AE0B0E">
                  <w:fldChar w:fldCharType="end"/>
                </w:r>
              </w:sdtContent>
            </w:sdt>
          </w:p>
          <w:p w14:paraId="5C1C873F" w14:textId="77777777" w:rsidR="00AE0B0E" w:rsidRPr="00EA5C8A" w:rsidRDefault="00D633C5" w:rsidP="0098539D">
            <w:sdt>
              <w:sdtPr>
                <w:id w:val="-903759503"/>
                <w:citation/>
              </w:sdtPr>
              <w:sdtEndPr/>
              <w:sdtContent>
                <w:r w:rsidR="00780326">
                  <w:fldChar w:fldCharType="begin"/>
                </w:r>
                <w:r w:rsidR="000A4362">
                  <w:rPr>
                    <w:lang w:val="en-CA"/>
                  </w:rPr>
                  <w:instrText xml:space="preserve">CITATION Hul87 \l 4105 </w:instrText>
                </w:r>
                <w:r w:rsidR="00780326">
                  <w:fldChar w:fldCharType="separate"/>
                </w:r>
                <w:r w:rsidR="000A4362" w:rsidRPr="000A4362">
                  <w:rPr>
                    <w:noProof/>
                    <w:lang w:val="en-CA"/>
                  </w:rPr>
                  <w:t>(Hultén, Dumitresco and Istrati)</w:t>
                </w:r>
                <w:r w:rsidR="00780326">
                  <w:fldChar w:fldCharType="end"/>
                </w:r>
              </w:sdtContent>
            </w:sdt>
          </w:p>
          <w:p w14:paraId="4D7D5593" w14:textId="77777777" w:rsidR="00B14A15" w:rsidRDefault="00D633C5" w:rsidP="0098539D">
            <w:sdt>
              <w:sdtPr>
                <w:id w:val="-791053555"/>
                <w:citation/>
              </w:sdtPr>
              <w:sdtEndPr/>
              <w:sdtContent>
                <w:r w:rsidR="00FA257A">
                  <w:fldChar w:fldCharType="begin"/>
                </w:r>
                <w:r w:rsidR="00FA257A">
                  <w:rPr>
                    <w:lang w:val="en-CA"/>
                  </w:rPr>
                  <w:instrText xml:space="preserve"> CITATION Pea10 \l 4105 </w:instrText>
                </w:r>
                <w:r w:rsidR="00FA257A">
                  <w:fldChar w:fldCharType="separate"/>
                </w:r>
                <w:r w:rsidR="00FA257A" w:rsidRPr="00FA257A">
                  <w:rPr>
                    <w:noProof/>
                    <w:lang w:val="en-CA"/>
                  </w:rPr>
                  <w:t>(Pearson)</w:t>
                </w:r>
                <w:r w:rsidR="00FA257A">
                  <w:fldChar w:fldCharType="end"/>
                </w:r>
              </w:sdtContent>
            </w:sdt>
          </w:p>
          <w:p w14:paraId="5C48D280" w14:textId="77777777" w:rsidR="00C16122" w:rsidRDefault="00D633C5" w:rsidP="0098539D">
            <w:sdt>
              <w:sdtPr>
                <w:id w:val="1062594813"/>
                <w:citation/>
              </w:sdtPr>
              <w:sdtEndPr/>
              <w:sdtContent>
                <w:r w:rsidR="00C16122">
                  <w:fldChar w:fldCharType="begin"/>
                </w:r>
                <w:r w:rsidR="00C16122">
                  <w:rPr>
                    <w:lang w:val="en-CA"/>
                  </w:rPr>
                  <w:instrText xml:space="preserve"> CITATION Sha89 \l 4105 </w:instrText>
                </w:r>
                <w:r w:rsidR="00C16122">
                  <w:fldChar w:fldCharType="separate"/>
                </w:r>
                <w:r w:rsidR="00C16122" w:rsidRPr="00C16122">
                  <w:rPr>
                    <w:noProof/>
                    <w:lang w:val="en-CA"/>
                  </w:rPr>
                  <w:t>(Shanes)</w:t>
                </w:r>
                <w:r w:rsidR="00C16122">
                  <w:fldChar w:fldCharType="end"/>
                </w:r>
              </w:sdtContent>
            </w:sdt>
          </w:p>
          <w:p w14:paraId="70C05A21" w14:textId="77777777" w:rsidR="00FA257A" w:rsidRPr="00E56615" w:rsidRDefault="00D633C5" w:rsidP="0098539D">
            <w:sdt>
              <w:sdtPr>
                <w:id w:val="722027623"/>
                <w:citation/>
              </w:sdtPr>
              <w:sdtEndPr/>
              <w:sdtContent>
                <w:r w:rsidR="00C16122">
                  <w:fldChar w:fldCharType="begin"/>
                </w:r>
                <w:r w:rsidR="00C16122">
                  <w:rPr>
                    <w:lang w:val="en-CA"/>
                  </w:rPr>
                  <w:instrText xml:space="preserve"> CITATION Var03 \l 4105 </w:instrText>
                </w:r>
                <w:r w:rsidR="00C16122">
                  <w:fldChar w:fldCharType="separate"/>
                </w:r>
                <w:r w:rsidR="00C16122" w:rsidRPr="00C16122">
                  <w:rPr>
                    <w:noProof/>
                    <w:lang w:val="en-CA"/>
                  </w:rPr>
                  <w:t>(Varia)</w:t>
                </w:r>
                <w:r w:rsidR="00C16122">
                  <w:fldChar w:fldCharType="end"/>
                </w:r>
              </w:sdtContent>
            </w:sdt>
          </w:p>
        </w:tc>
      </w:tr>
    </w:tbl>
    <w:p w14:paraId="482372F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FA7E0A" w14:textId="77777777" w:rsidR="00D633C5" w:rsidRDefault="00D633C5" w:rsidP="007A0D55">
      <w:pPr>
        <w:spacing w:after="0" w:line="240" w:lineRule="auto"/>
      </w:pPr>
      <w:r>
        <w:separator/>
      </w:r>
    </w:p>
  </w:endnote>
  <w:endnote w:type="continuationSeparator" w:id="0">
    <w:p w14:paraId="2AB6C5B0" w14:textId="77777777" w:rsidR="00D633C5" w:rsidRDefault="00D633C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iragino Mincho ProN W3">
    <w:panose1 w:val="02020300000000000000"/>
    <w:charset w:val="80"/>
    <w:family w:val="auto"/>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EA2C3" w14:textId="77777777" w:rsidR="00D633C5" w:rsidRDefault="00D633C5" w:rsidP="007A0D55">
      <w:pPr>
        <w:spacing w:after="0" w:line="240" w:lineRule="auto"/>
      </w:pPr>
      <w:r>
        <w:separator/>
      </w:r>
    </w:p>
  </w:footnote>
  <w:footnote w:type="continuationSeparator" w:id="0">
    <w:p w14:paraId="35BDBEF2" w14:textId="77777777" w:rsidR="00D633C5" w:rsidRDefault="00D633C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A6169" w14:textId="77777777" w:rsidR="007A0D55" w:rsidRDefault="007A0D55">
    <w:pPr>
      <w:pStyle w:val="Header"/>
    </w:pPr>
    <w:r w:rsidRPr="00E56615">
      <w:rPr>
        <w:b/>
        <w:color w:val="7F7F7F"/>
      </w:rPr>
      <w:t>Taylor &amp; Francis</w:t>
    </w:r>
    <w:r w:rsidRPr="00E56615">
      <w:rPr>
        <w:color w:val="7F7F7F"/>
      </w:rPr>
      <w:t xml:space="preserve"> – </w:t>
    </w:r>
    <w:proofErr w:type="spellStart"/>
    <w:r w:rsidRPr="00E56615">
      <w:rPr>
        <w:i/>
        <w:color w:val="7F7F7F"/>
      </w:rPr>
      <w:t>Encyclopedia</w:t>
    </w:r>
    <w:proofErr w:type="spellEnd"/>
    <w:r w:rsidRPr="00E56615">
      <w:rPr>
        <w:i/>
        <w:color w:val="7F7F7F"/>
      </w:rPr>
      <w:t xml:space="preserve"> of Modernism</w:t>
    </w:r>
  </w:p>
  <w:p w14:paraId="0D67E4E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7CED2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615"/>
    <w:rsid w:val="00032559"/>
    <w:rsid w:val="00035FEB"/>
    <w:rsid w:val="00052040"/>
    <w:rsid w:val="000A4362"/>
    <w:rsid w:val="000B25AE"/>
    <w:rsid w:val="000B55AB"/>
    <w:rsid w:val="000D24DC"/>
    <w:rsid w:val="00101B2E"/>
    <w:rsid w:val="00116FA0"/>
    <w:rsid w:val="0015114C"/>
    <w:rsid w:val="00155F8F"/>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5632"/>
    <w:rsid w:val="00590035"/>
    <w:rsid w:val="005B177E"/>
    <w:rsid w:val="005B3921"/>
    <w:rsid w:val="005F26D7"/>
    <w:rsid w:val="005F5450"/>
    <w:rsid w:val="00646B6B"/>
    <w:rsid w:val="006C7539"/>
    <w:rsid w:val="006D0412"/>
    <w:rsid w:val="006D7428"/>
    <w:rsid w:val="00711C28"/>
    <w:rsid w:val="007411B9"/>
    <w:rsid w:val="00780326"/>
    <w:rsid w:val="00780D95"/>
    <w:rsid w:val="00780DC7"/>
    <w:rsid w:val="007A0D55"/>
    <w:rsid w:val="007A7E1C"/>
    <w:rsid w:val="007B3377"/>
    <w:rsid w:val="007E5F44"/>
    <w:rsid w:val="00821DE3"/>
    <w:rsid w:val="00846CE1"/>
    <w:rsid w:val="008A5B87"/>
    <w:rsid w:val="00922950"/>
    <w:rsid w:val="0098539D"/>
    <w:rsid w:val="00997EF1"/>
    <w:rsid w:val="009A7264"/>
    <w:rsid w:val="009D1606"/>
    <w:rsid w:val="009E18A1"/>
    <w:rsid w:val="009E73D7"/>
    <w:rsid w:val="00A27D2C"/>
    <w:rsid w:val="00A76FD9"/>
    <w:rsid w:val="00AB436D"/>
    <w:rsid w:val="00AD2F24"/>
    <w:rsid w:val="00AD4844"/>
    <w:rsid w:val="00AE0B0E"/>
    <w:rsid w:val="00B14A15"/>
    <w:rsid w:val="00B219AE"/>
    <w:rsid w:val="00B33145"/>
    <w:rsid w:val="00B574C9"/>
    <w:rsid w:val="00BC39C9"/>
    <w:rsid w:val="00BE5BF7"/>
    <w:rsid w:val="00BF40E1"/>
    <w:rsid w:val="00C16122"/>
    <w:rsid w:val="00C27FAB"/>
    <w:rsid w:val="00C358D4"/>
    <w:rsid w:val="00C6296B"/>
    <w:rsid w:val="00CC586D"/>
    <w:rsid w:val="00CF1542"/>
    <w:rsid w:val="00CF3EC5"/>
    <w:rsid w:val="00D633C5"/>
    <w:rsid w:val="00D656DA"/>
    <w:rsid w:val="00D83300"/>
    <w:rsid w:val="00DC6B48"/>
    <w:rsid w:val="00DF01B0"/>
    <w:rsid w:val="00E56615"/>
    <w:rsid w:val="00E85A05"/>
    <w:rsid w:val="00E95829"/>
    <w:rsid w:val="00EA606C"/>
    <w:rsid w:val="00EB0C8C"/>
    <w:rsid w:val="00EB51FD"/>
    <w:rsid w:val="00EB77DB"/>
    <w:rsid w:val="00ED139F"/>
    <w:rsid w:val="00EF74F7"/>
    <w:rsid w:val="00F027F9"/>
    <w:rsid w:val="00F36937"/>
    <w:rsid w:val="00F60F53"/>
    <w:rsid w:val="00FA1925"/>
    <w:rsid w:val="00FA257A"/>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A408"/>
  <w15:chartTrackingRefBased/>
  <w15:docId w15:val="{F64EEAFD-C34B-43DA-9A75-E4ECA848B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0"/>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rsid w:val="00545632"/>
    <w:rPr>
      <w:color w:val="000080"/>
      <w:u w:val="single"/>
    </w:rPr>
  </w:style>
  <w:style w:type="paragraph" w:styleId="Caption">
    <w:name w:val="caption"/>
    <w:basedOn w:val="Normal"/>
    <w:next w:val="Normal"/>
    <w:uiPriority w:val="35"/>
    <w:semiHidden/>
    <w:qFormat/>
    <w:rsid w:val="007A7E1C"/>
    <w:pPr>
      <w:spacing w:after="200" w:line="240" w:lineRule="auto"/>
    </w:pPr>
    <w:rPr>
      <w:i/>
      <w:iCs/>
      <w:color w:val="44546A" w:themeColor="text2"/>
      <w:sz w:val="18"/>
      <w:szCs w:val="18"/>
    </w:rPr>
  </w:style>
  <w:style w:type="paragraph" w:styleId="BodyText">
    <w:name w:val="Body Text"/>
    <w:basedOn w:val="Normal"/>
    <w:link w:val="BodyTextChar"/>
    <w:rsid w:val="00C16122"/>
    <w:pPr>
      <w:widowControl w:val="0"/>
      <w:suppressAutoHyphens/>
      <w:spacing w:after="120" w:line="240" w:lineRule="auto"/>
    </w:pPr>
    <w:rPr>
      <w:rFonts w:ascii="Times New Roman" w:eastAsia="Hiragino Mincho ProN W3" w:hAnsi="Times New Roman"/>
      <w:kern w:val="1"/>
      <w:sz w:val="24"/>
      <w:szCs w:val="24"/>
      <w:lang w:val="en-US"/>
    </w:rPr>
  </w:style>
  <w:style w:type="character" w:customStyle="1" w:styleId="BodyTextChar">
    <w:name w:val="Body Text Char"/>
    <w:basedOn w:val="DefaultParagraphFont"/>
    <w:link w:val="BodyText"/>
    <w:rsid w:val="00C16122"/>
    <w:rPr>
      <w:rFonts w:ascii="Times New Roman" w:eastAsia="Hiragino Mincho ProN W3" w:hAnsi="Times New Roman"/>
      <w:kern w:val="1"/>
      <w:sz w:val="24"/>
      <w:szCs w:val="24"/>
      <w:lang w:val="en-US"/>
    </w:rPr>
  </w:style>
  <w:style w:type="character" w:styleId="FollowedHyperlink">
    <w:name w:val="FollowedHyperlink"/>
    <w:basedOn w:val="DefaultParagraphFont"/>
    <w:uiPriority w:val="99"/>
    <w:semiHidden/>
    <w:rsid w:val="009853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25993">
      <w:bodyDiv w:val="1"/>
      <w:marLeft w:val="0"/>
      <w:marRight w:val="0"/>
      <w:marTop w:val="0"/>
      <w:marBottom w:val="0"/>
      <w:divBdr>
        <w:top w:val="none" w:sz="0" w:space="0" w:color="auto"/>
        <w:left w:val="none" w:sz="0" w:space="0" w:color="auto"/>
        <w:bottom w:val="none" w:sz="0" w:space="0" w:color="auto"/>
        <w:right w:val="none" w:sz="0" w:space="0" w:color="auto"/>
      </w:divBdr>
    </w:div>
    <w:div w:id="640043885">
      <w:bodyDiv w:val="1"/>
      <w:marLeft w:val="0"/>
      <w:marRight w:val="0"/>
      <w:marTop w:val="0"/>
      <w:marBottom w:val="0"/>
      <w:divBdr>
        <w:top w:val="none" w:sz="0" w:space="0" w:color="auto"/>
        <w:left w:val="none" w:sz="0" w:space="0" w:color="auto"/>
        <w:bottom w:val="none" w:sz="0" w:space="0" w:color="auto"/>
        <w:right w:val="none" w:sz="0" w:space="0" w:color="auto"/>
      </w:divBdr>
    </w:div>
    <w:div w:id="641079050">
      <w:bodyDiv w:val="1"/>
      <w:marLeft w:val="0"/>
      <w:marRight w:val="0"/>
      <w:marTop w:val="0"/>
      <w:marBottom w:val="0"/>
      <w:divBdr>
        <w:top w:val="none" w:sz="0" w:space="0" w:color="auto"/>
        <w:left w:val="none" w:sz="0" w:space="0" w:color="auto"/>
        <w:bottom w:val="none" w:sz="0" w:space="0" w:color="auto"/>
        <w:right w:val="none" w:sz="0" w:space="0" w:color="auto"/>
      </w:divBdr>
    </w:div>
    <w:div w:id="1018194133">
      <w:bodyDiv w:val="1"/>
      <w:marLeft w:val="0"/>
      <w:marRight w:val="0"/>
      <w:marTop w:val="0"/>
      <w:marBottom w:val="0"/>
      <w:divBdr>
        <w:top w:val="none" w:sz="0" w:space="0" w:color="auto"/>
        <w:left w:val="none" w:sz="0" w:space="0" w:color="auto"/>
        <w:bottom w:val="none" w:sz="0" w:space="0" w:color="auto"/>
        <w:right w:val="none" w:sz="0" w:space="0" w:color="auto"/>
      </w:divBdr>
    </w:div>
    <w:div w:id="1037898672">
      <w:bodyDiv w:val="1"/>
      <w:marLeft w:val="0"/>
      <w:marRight w:val="0"/>
      <w:marTop w:val="0"/>
      <w:marBottom w:val="0"/>
      <w:divBdr>
        <w:top w:val="none" w:sz="0" w:space="0" w:color="auto"/>
        <w:left w:val="none" w:sz="0" w:space="0" w:color="auto"/>
        <w:bottom w:val="none" w:sz="0" w:space="0" w:color="auto"/>
        <w:right w:val="none" w:sz="0" w:space="0" w:color="auto"/>
      </w:divBdr>
    </w:div>
    <w:div w:id="1304580278">
      <w:bodyDiv w:val="1"/>
      <w:marLeft w:val="0"/>
      <w:marRight w:val="0"/>
      <w:marTop w:val="0"/>
      <w:marBottom w:val="0"/>
      <w:divBdr>
        <w:top w:val="none" w:sz="0" w:space="0" w:color="auto"/>
        <w:left w:val="none" w:sz="0" w:space="0" w:color="auto"/>
        <w:bottom w:val="none" w:sz="0" w:space="0" w:color="auto"/>
        <w:right w:val="none" w:sz="0" w:space="0" w:color="auto"/>
      </w:divBdr>
    </w:div>
    <w:div w:id="1381442666">
      <w:bodyDiv w:val="1"/>
      <w:marLeft w:val="0"/>
      <w:marRight w:val="0"/>
      <w:marTop w:val="0"/>
      <w:marBottom w:val="0"/>
      <w:divBdr>
        <w:top w:val="none" w:sz="0" w:space="0" w:color="auto"/>
        <w:left w:val="none" w:sz="0" w:space="0" w:color="auto"/>
        <w:bottom w:val="none" w:sz="0" w:space="0" w:color="auto"/>
        <w:right w:val="none" w:sz="0" w:space="0" w:color="auto"/>
      </w:divBdr>
    </w:div>
    <w:div w:id="1784687290">
      <w:bodyDiv w:val="1"/>
      <w:marLeft w:val="0"/>
      <w:marRight w:val="0"/>
      <w:marTop w:val="0"/>
      <w:marBottom w:val="0"/>
      <w:divBdr>
        <w:top w:val="none" w:sz="0" w:space="0" w:color="auto"/>
        <w:left w:val="none" w:sz="0" w:space="0" w:color="auto"/>
        <w:bottom w:val="none" w:sz="0" w:space="0" w:color="auto"/>
        <w:right w:val="none" w:sz="0" w:space="0" w:color="auto"/>
      </w:divBdr>
    </w:div>
    <w:div w:id="1961452667">
      <w:bodyDiv w:val="1"/>
      <w:marLeft w:val="0"/>
      <w:marRight w:val="0"/>
      <w:marTop w:val="0"/>
      <w:marBottom w:val="0"/>
      <w:divBdr>
        <w:top w:val="none" w:sz="0" w:space="0" w:color="auto"/>
        <w:left w:val="none" w:sz="0" w:space="0" w:color="auto"/>
        <w:bottom w:val="none" w:sz="0" w:space="0" w:color="auto"/>
        <w:right w:val="none" w:sz="0" w:space="0" w:color="auto"/>
      </w:divBdr>
    </w:div>
    <w:div w:id="205719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tate.org.uk/art/artworks/brancusi-maiastra-t01751"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Bec07</b:Tag>
    <b:SourceType>Book</b:SourceType>
    <b:Guid>{262B6C06-0BC8-42CE-A9DB-331F1DF26FAB}</b:Guid>
    <b:Author>
      <b:Author>
        <b:NameList>
          <b:Person>
            <b:Last>Beck</b:Last>
            <b:First>E.</b:First>
          </b:Person>
        </b:NameList>
      </b:Author>
    </b:Author>
    <b:Title>Brancusi's Endless Column: Targu-Jiu, Romania (World Monuments Fund)</b:Title>
    <b:Year>2007</b:Year>
    <b:City>London</b:City>
    <b:Publisher>Scala Arts &amp; Heritage</b:Publisher>
    <b:RefOrder>1</b:RefOrder>
  </b:Source>
  <b:Source>
    <b:Tag>Gei69</b:Tag>
    <b:SourceType>Book</b:SourceType>
    <b:Guid>{F0099BBB-434D-4590-AFC4-A3DF2FA3B5E5}</b:Guid>
    <b:Author>
      <b:Author>
        <b:NameList>
          <b:Person>
            <b:Last>Geist</b:Last>
            <b:First>S.</b:First>
          </b:Person>
        </b:NameList>
      </b:Author>
    </b:Author>
    <b:Title>Constantin Brancusi, 1876-1957: A Retrospective Exhibition</b:Title>
    <b:Year>1969</b:Year>
    <b:City>New York</b:City>
    <b:Publisher>The Solomon R. Guggenheim Museum</b:Publisher>
    <b:RefOrder>2</b:RefOrder>
  </b:Source>
  <b:Source>
    <b:Tag>Gie59</b:Tag>
    <b:SourceType>Book</b:SourceType>
    <b:Guid>{2AC7212C-8AF1-4A77-B4CF-EEFB94250225}</b:Guid>
    <b:Author>
      <b:Author>
        <b:NameList>
          <b:Person>
            <b:Last>Giedion-Welcker</b:Last>
            <b:First>C.</b:First>
          </b:Person>
        </b:NameList>
      </b:Author>
    </b:Author>
    <b:Title>Constantin Brancusi</b:Title>
    <b:Year>1959</b:Year>
    <b:City>New York</b:City>
    <b:Publisher>George Braziller</b:Publisher>
    <b:RefOrder>3</b:RefOrder>
  </b:Source>
  <b:Source>
    <b:Tag>Gim04</b:Tag>
    <b:SourceType>Book</b:SourceType>
    <b:Guid>{C8C8C070-BB74-4E5E-967B-9CCA9CFFB07B}</b:Guid>
    <b:Author>
      <b:Author>
        <b:NameList>
          <b:Person>
            <b:Last>Gimenez</b:Last>
            <b:First>C.</b:First>
          </b:Person>
          <b:Person>
            <b:Last>Matthew</b:Last>
            <b:First>G.</b:First>
          </b:Person>
        </b:NameList>
      </b:Author>
    </b:Author>
    <b:Title>Constantin Brancusi: The Essence of Things</b:Title>
    <b:Year>2004</b:Year>
    <b:City>London</b:City>
    <b:Publisher>Tate Publishing</b:Publisher>
    <b:RefOrder>4</b:RefOrder>
  </b:Source>
  <b:Source>
    <b:Tag>Hul87</b:Tag>
    <b:SourceType>Book</b:SourceType>
    <b:Guid>{18C9A188-5A0A-42F2-AE14-480E1DD9A806}</b:Guid>
    <b:Author>
      <b:Author>
        <b:NameList>
          <b:Person>
            <b:Last>Hultén</b:Last>
            <b:First>P.</b:First>
          </b:Person>
          <b:Person>
            <b:Last>Dumitresco</b:Last>
            <b:First>N.</b:First>
          </b:Person>
          <b:Person>
            <b:Last>Istrati</b:Last>
            <b:First>A.</b:First>
          </b:Person>
        </b:NameList>
      </b:Author>
    </b:Author>
    <b:Title>Brancusi</b:Title>
    <b:Year>1987</b:Year>
    <b:City>New York</b:City>
    <b:Publisher>Abrams</b:Publisher>
    <b:RefOrder>5</b:RefOrder>
  </b:Source>
  <b:Source>
    <b:Tag>Pea10</b:Tag>
    <b:SourceType>Book</b:SourceType>
    <b:Guid>{28B39BAE-2E9E-408C-BD33-432703B01BA7}</b:Guid>
    <b:Author>
      <b:Author>
        <b:NameList>
          <b:Person>
            <b:Last>Pearson</b:Last>
            <b:First>J.</b:First>
          </b:Person>
        </b:NameList>
      </b:Author>
    </b:Author>
    <b:Title>Constantin Brancusi: Sculpting the Essence of Things</b:Title>
    <b:Year>2010</b:Year>
    <b:City>Kent</b:City>
    <b:Publisher>Crescent Moon Publishing</b:Publisher>
    <b:RefOrder>6</b:RefOrder>
  </b:Source>
  <b:Source>
    <b:Tag>Sha89</b:Tag>
    <b:SourceType>Book</b:SourceType>
    <b:Guid>{B927D529-8B85-4EF5-AB7D-8226891C8634}</b:Guid>
    <b:Author>
      <b:Author>
        <b:NameList>
          <b:Person>
            <b:Last>Shanes</b:Last>
            <b:First>E.</b:First>
          </b:Person>
        </b:NameList>
      </b:Author>
    </b:Author>
    <b:Title>Constantin Brancusi</b:Title>
    <b:Year>1989</b:Year>
    <b:City>New York</b:City>
    <b:Publisher>Abbeville Press</b:Publisher>
    <b:RefOrder>7</b:RefOrder>
  </b:Source>
  <b:Source>
    <b:Tag>Var03</b:Tag>
    <b:SourceType>Book</b:SourceType>
    <b:Guid>{C28923F9-4E0D-4B3E-A2B4-DF42BE4D7FEC}</b:Guid>
    <b:Author>
      <b:Author>
        <b:NameList>
          <b:Person>
            <b:Last>Varia</b:Last>
            <b:First>R.</b:First>
          </b:Person>
        </b:NameList>
      </b:Author>
    </b:Author>
    <b:Title>Brancusi</b:Title>
    <b:Year>2003</b:Year>
    <b:City>New York</b:City>
    <b:Publisher>Rizzoli</b:Publisher>
    <b:RefOrder>8</b:RefOrder>
  </b:Source>
</b:Sources>
</file>

<file path=customXml/itemProps1.xml><?xml version="1.0" encoding="utf-8"?>
<ds:datastoreItem xmlns:ds="http://schemas.openxmlformats.org/officeDocument/2006/customXml" ds:itemID="{99ACC05C-34C1-1E42-ADCA-7698B6696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C:\Users\RachelleAnn\Desktop\Routledge Enyclopedia of Modernism Word Template.dotx</Template>
  <TotalTime>20</TotalTime>
  <Pages>2</Pages>
  <Words>746</Words>
  <Characters>4254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Yan Tang</cp:lastModifiedBy>
  <cp:revision>9</cp:revision>
  <dcterms:created xsi:type="dcterms:W3CDTF">2016-02-27T08:47:00Z</dcterms:created>
  <dcterms:modified xsi:type="dcterms:W3CDTF">2016-02-29T03:07:00Z</dcterms:modified>
</cp:coreProperties>
</file>