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F4CF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C0D0A5" w14:textId="77777777" w:rsidR="00B574C9" w:rsidRPr="00CC586D" w:rsidRDefault="00851450" w:rsidP="00CC586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</w:rPr>
              <w:t>Ź</w:t>
            </w:r>
            <w:r w:rsidR="00B574C9" w:rsidRPr="00CC586D">
              <w:rPr>
                <w:b/>
                <w:color w:val="FFFFFF" w:themeColor="background1"/>
              </w:rPr>
              <w:t>About</w:t>
            </w:r>
            <w:proofErr w:type="spellEnd"/>
            <w:r w:rsidR="00B574C9" w:rsidRPr="00CC586D">
              <w:rPr>
                <w:b/>
                <w:color w:val="FFFFFF" w:themeColor="background1"/>
              </w:rPr>
              <w:t xml:space="preserve">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C9B5153B99B5D44B0EB2F1F8694B5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81112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13A9DB71418E459EA373A00EA98698"/>
            </w:placeholder>
            <w:text/>
          </w:sdtPr>
          <w:sdtEndPr/>
          <w:sdtContent>
            <w:tc>
              <w:tcPr>
                <w:tcW w:w="2073" w:type="dxa"/>
              </w:tcPr>
              <w:p w14:paraId="21FB9F55" w14:textId="77777777" w:rsidR="00B574C9" w:rsidRDefault="00851450" w:rsidP="00851450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660E63412BDF742A1728BB5B2471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D1C564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0C504E6686B4541A711465CCE88841D"/>
            </w:placeholder>
            <w:text/>
          </w:sdtPr>
          <w:sdtEndPr/>
          <w:sdtContent>
            <w:tc>
              <w:tcPr>
                <w:tcW w:w="2642" w:type="dxa"/>
              </w:tcPr>
              <w:p w14:paraId="53267F77" w14:textId="77777777" w:rsidR="00B574C9" w:rsidRDefault="00851450" w:rsidP="00851450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14:paraId="432E1EB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452D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2A9D9058A8FC847A75F63699D3C5C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EABE2F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2576A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5DA3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E976050E512E0428F802E07872490F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268A8E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C457D0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6D876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DA040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582C9C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2B775F5C87ADFC4A8C3325B3913E41A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21CCF" w14:textId="77777777" w:rsidR="003F0D73" w:rsidRPr="00FB589A" w:rsidRDefault="00851450" w:rsidP="00851450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hAnsi="Calibri"/>
                    <w:b/>
                  </w:rPr>
                  <w:t>École</w:t>
                </w:r>
                <w:proofErr w:type="spellEnd"/>
                <w:r>
                  <w:rPr>
                    <w:rFonts w:ascii="Calibri" w:hAnsi="Calibri"/>
                    <w:b/>
                  </w:rPr>
                  <w:t xml:space="preserve"> de Tunis</w:t>
                </w:r>
              </w:p>
            </w:tc>
          </w:sdtContent>
        </w:sdt>
      </w:tr>
      <w:tr w:rsidR="00464699" w14:paraId="6CCAE8BD" w14:textId="77777777" w:rsidTr="007D2FC4">
        <w:sdt>
          <w:sdtPr>
            <w:alias w:val="Variant headwords"/>
            <w:tag w:val="variantHeadwords"/>
            <w:id w:val="173464402"/>
            <w:placeholder>
              <w:docPart w:val="A1E7FB0139394140891432D0A458AB2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B4165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5F3D2B" w14:textId="77777777" w:rsidTr="003F0D73">
        <w:sdt>
          <w:sdtPr>
            <w:alias w:val="Abstract"/>
            <w:tag w:val="abstract"/>
            <w:id w:val="-635871867"/>
            <w:placeholder>
              <w:docPart w:val="3ECF5F681990D043B1E8540D2205C2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4F9DA3" w14:textId="77777777" w:rsidR="00E85A05" w:rsidRDefault="00851450" w:rsidP="00E85A05">
                <w:r w:rsidRPr="00851450">
                  <w:rPr>
                    <w:lang w:val="en-US"/>
                  </w:rPr>
                  <w:t xml:space="preserve">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was an elite circle of Tunisian, French, and Italian artists formed in 1948 and credited for pioneering a Tunisian artistic modernism. Both the group’s membership and aesthetic purview evolved over the course of the late nationalist and post-Independence periods. Pierre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Tunis, founded the group. 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its president. Affiliation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>was exclusive to elite artists but fluid.</w:t>
                </w:r>
              </w:p>
            </w:tc>
          </w:sdtContent>
        </w:sdt>
      </w:tr>
      <w:tr w:rsidR="003F0D73" w14:paraId="130CCD8F" w14:textId="77777777" w:rsidTr="003F0D73">
        <w:sdt>
          <w:sdtPr>
            <w:alias w:val="Article text"/>
            <w:tag w:val="articleText"/>
            <w:id w:val="634067588"/>
            <w:placeholder>
              <w:docPart w:val="5EBAE9D7C5FFBB4892EFED627BD055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BA9B5A" w14:textId="28316B1D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was an elite circle of Tunisian, French, and Italian artists formed in 1948 and credited for pioneering a Tunisian artistic modernism. Both the group’s membership and aesthetic purview evolved over the course of the late nationalist and post-Independence periods. Pierre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Tunis, founded the group. 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its presid</w:t>
                </w:r>
                <w:bookmarkStart w:id="0" w:name="_GoBack"/>
                <w:bookmarkEnd w:id="0"/>
                <w:r w:rsidRPr="00851450">
                  <w:rPr>
                    <w:lang w:val="en-US"/>
                  </w:rPr>
                  <w:t xml:space="preserve">ent. Affiliation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was exclusive to elite artists but fluid. Its members included Moses Levy, </w:t>
                </w:r>
                <w:proofErr w:type="spellStart"/>
                <w:r w:rsidRPr="00851450">
                  <w:rPr>
                    <w:lang w:val="en-US"/>
                  </w:rPr>
                  <w:t>Nello</w:t>
                </w:r>
                <w:proofErr w:type="spellEnd"/>
                <w:r w:rsidRPr="00851450">
                  <w:rPr>
                    <w:lang w:val="en-US"/>
                  </w:rPr>
                  <w:t xml:space="preserve"> Levy, Ammar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Jellal</w:t>
                </w:r>
                <w:proofErr w:type="spellEnd"/>
                <w:r w:rsidRPr="00851450">
                  <w:rPr>
                    <w:lang w:val="en-US"/>
                  </w:rPr>
                  <w:t xml:space="preserve"> Ben Abdallah,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Zoubeïr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Hatem el </w:t>
                </w:r>
                <w:proofErr w:type="spellStart"/>
                <w:r w:rsidRPr="00851450">
                  <w:rPr>
                    <w:lang w:val="en-US"/>
                  </w:rPr>
                  <w:t>Mekki</w:t>
                </w:r>
                <w:proofErr w:type="spellEnd"/>
                <w:r w:rsidRPr="00851450">
                  <w:rPr>
                    <w:lang w:val="en-US"/>
                  </w:rPr>
                  <w:t xml:space="preserve">,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Hédi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Brahim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Dhahak</w:t>
                </w:r>
                <w:proofErr w:type="spellEnd"/>
                <w:r w:rsidRPr="00851450">
                  <w:rPr>
                    <w:lang w:val="en-US"/>
                  </w:rPr>
                  <w:t xml:space="preserve">. While the group did not issue mandates it was cohesive in its effort to create an artistic modernism that characterized the Tunisian personality. Thematic content was grounded in research on </w:t>
                </w:r>
                <w:proofErr w:type="spellStart"/>
                <w:r w:rsidRPr="00851450">
                  <w:rPr>
                    <w:i/>
                    <w:lang w:val="en-US"/>
                  </w:rPr>
                  <w:t>tunisianité</w:t>
                </w:r>
                <w:proofErr w:type="spellEnd"/>
                <w:r w:rsidRPr="00851450">
                  <w:rPr>
                    <w:lang w:val="en-US"/>
                  </w:rPr>
                  <w:t xml:space="preserve">, Tunisian cultural patrimony, and </w:t>
                </w:r>
                <w:proofErr w:type="spellStart"/>
                <w:r w:rsidRPr="00851450">
                  <w:rPr>
                    <w:lang w:val="en-US"/>
                  </w:rPr>
                  <w:t>emphasised</w:t>
                </w:r>
                <w:proofErr w:type="spellEnd"/>
                <w:r w:rsidRPr="00851450">
                  <w:rPr>
                    <w:lang w:val="en-US"/>
                  </w:rPr>
                  <w:t xml:space="preserve"> local landscapes and figures, interior scenes, quotidian life, and the nation’s geographic and cultural position in the Mediterranean region. This orientation did not preclude female nudes, sunbathers, and still </w:t>
                </w:r>
                <w:proofErr w:type="spellStart"/>
                <w:r w:rsidRPr="00851450">
                  <w:rPr>
                    <w:lang w:val="en-US"/>
                  </w:rPr>
                  <w:t>lifes</w:t>
                </w:r>
                <w:proofErr w:type="spellEnd"/>
                <w:r w:rsidRPr="00851450">
                  <w:rPr>
                    <w:lang w:val="en-US"/>
                  </w:rPr>
                  <w:t xml:space="preserve">, but rather stressed historic transcultural linkages, cross-influences, and Tunisian </w:t>
                </w:r>
                <w:r w:rsidR="00137E85">
                  <w:rPr>
                    <w:lang w:val="en-US"/>
                  </w:rPr>
                  <w:t>‘</w:t>
                </w:r>
                <w:r w:rsidRPr="00851450">
                  <w:rPr>
                    <w:lang w:val="en-US"/>
                  </w:rPr>
                  <w:t>openness</w:t>
                </w:r>
                <w:r w:rsidR="00137E85">
                  <w:rPr>
                    <w:lang w:val="en-US"/>
                  </w:rPr>
                  <w:t>’.</w:t>
                </w:r>
                <w:r w:rsidRPr="00851450">
                  <w:rPr>
                    <w:lang w:val="en-US"/>
                  </w:rPr>
                  <w:t xml:space="preserve"> The postcolonial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is associated with the rule of Tunisia’s first president Habib </w:t>
                </w:r>
                <w:proofErr w:type="spellStart"/>
                <w:r w:rsidRPr="00851450">
                  <w:rPr>
                    <w:lang w:val="en-US"/>
                  </w:rPr>
                  <w:t>Bourguiba</w:t>
                </w:r>
                <w:proofErr w:type="spellEnd"/>
                <w:r w:rsidRPr="00851450">
                  <w:rPr>
                    <w:lang w:val="en-US"/>
                  </w:rPr>
                  <w:t xml:space="preserve"> and official state recognition.</w:t>
                </w:r>
              </w:p>
              <w:p w14:paraId="3DE68192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4F058884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Pierre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, built the group on two previous networks of artists. In 1936 he created the </w:t>
                </w:r>
                <w:proofErr w:type="spellStart"/>
                <w:r w:rsidRPr="00851450">
                  <w:rPr>
                    <w:i/>
                    <w:lang w:val="en-US"/>
                  </w:rPr>
                  <w:t>Groupe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des </w:t>
                </w:r>
                <w:proofErr w:type="spellStart"/>
                <w:r w:rsidRPr="00851450">
                  <w:rPr>
                    <w:i/>
                    <w:lang w:val="en-US"/>
                  </w:rPr>
                  <w:t>Quatres</w:t>
                </w:r>
                <w:proofErr w:type="spellEnd"/>
                <w:r w:rsidRPr="00851450">
                  <w:rPr>
                    <w:lang w:val="en-US"/>
                  </w:rPr>
                  <w:t xml:space="preserve">, which was composed of Moses Levy, a Tunisian artist of Jewish descent, Jules </w:t>
                </w:r>
                <w:proofErr w:type="spellStart"/>
                <w:r w:rsidRPr="00851450">
                  <w:rPr>
                    <w:lang w:val="en-US"/>
                  </w:rPr>
                  <w:t>Lellouche</w:t>
                </w:r>
                <w:proofErr w:type="spellEnd"/>
                <w:r w:rsidRPr="00851450">
                  <w:rPr>
                    <w:lang w:val="en-US"/>
                  </w:rPr>
                  <w:t xml:space="preserve">, a French artist born in Monastir, and Antonio Corpora, an Italian artist born in Tunis. After World War II the circle expanded as the </w:t>
                </w:r>
                <w:proofErr w:type="spellStart"/>
                <w:r w:rsidRPr="00851450">
                  <w:rPr>
                    <w:i/>
                    <w:lang w:val="en-US"/>
                  </w:rPr>
                  <w:t>Groupe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des Dix</w:t>
                </w:r>
                <w:r w:rsidRPr="00851450">
                  <w:rPr>
                    <w:lang w:val="en-US"/>
                  </w:rPr>
                  <w:t xml:space="preserve"> to include </w:t>
                </w:r>
                <w:proofErr w:type="spellStart"/>
                <w:r w:rsidRPr="00851450">
                  <w:rPr>
                    <w:lang w:val="en-US"/>
                  </w:rPr>
                  <w:t>Nello</w:t>
                </w:r>
                <w:proofErr w:type="spellEnd"/>
                <w:r w:rsidRPr="00851450">
                  <w:rPr>
                    <w:lang w:val="en-US"/>
                  </w:rPr>
                  <w:t xml:space="preserve"> Levy, Edgar </w:t>
                </w:r>
                <w:proofErr w:type="spellStart"/>
                <w:r w:rsidRPr="00851450">
                  <w:rPr>
                    <w:lang w:val="en-US"/>
                  </w:rPr>
                  <w:t>Naccache</w:t>
                </w:r>
                <w:proofErr w:type="spellEnd"/>
                <w:r w:rsidRPr="00851450">
                  <w:rPr>
                    <w:lang w:val="en-US"/>
                  </w:rPr>
                  <w:t xml:space="preserve">, Emmanuel </w:t>
                </w:r>
                <w:proofErr w:type="spellStart"/>
                <w:r w:rsidRPr="00851450">
                  <w:rPr>
                    <w:lang w:val="en-US"/>
                  </w:rPr>
                  <w:t>Bocchieri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Ammar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Jellal</w:t>
                </w:r>
                <w:proofErr w:type="spellEnd"/>
                <w:r w:rsidRPr="00851450">
                  <w:rPr>
                    <w:lang w:val="en-US"/>
                  </w:rPr>
                  <w:t xml:space="preserve"> Ben Abdallah. Around 1948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 renamed the group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and became its president. He chose the name to reflect the group’s multiplicity of cultural and religious identities and in homage to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Paris </w:t>
                </w:r>
                <w:r w:rsidRPr="00851450">
                  <w:rPr>
                    <w:lang w:val="en-US"/>
                  </w:rPr>
                  <w:t xml:space="preserve">and Paris-Tunis café culture. Tunisian artists later associated with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include </w:t>
                </w:r>
                <w:proofErr w:type="spellStart"/>
                <w:r w:rsidRPr="00851450">
                  <w:rPr>
                    <w:lang w:val="en-US"/>
                  </w:rPr>
                  <w:t>Zoubeïr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Hatem el </w:t>
                </w:r>
                <w:proofErr w:type="spellStart"/>
                <w:r w:rsidRPr="00851450">
                  <w:rPr>
                    <w:lang w:val="en-US"/>
                  </w:rPr>
                  <w:t>Mekki</w:t>
                </w:r>
                <w:proofErr w:type="spellEnd"/>
                <w:r w:rsidRPr="00851450">
                  <w:rPr>
                    <w:lang w:val="en-US"/>
                  </w:rPr>
                  <w:t xml:space="preserve">,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Hédi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, and </w:t>
                </w:r>
                <w:proofErr w:type="spellStart"/>
                <w:r w:rsidRPr="00851450">
                  <w:rPr>
                    <w:lang w:val="en-US"/>
                  </w:rPr>
                  <w:t>Brahim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Dhahak</w:t>
                </w:r>
                <w:proofErr w:type="spellEnd"/>
                <w:r w:rsidRPr="00851450">
                  <w:rPr>
                    <w:lang w:val="en-US"/>
                  </w:rPr>
                  <w:t xml:space="preserve">. In 1960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 became the only woman to join the group. </w:t>
                </w:r>
              </w:p>
              <w:p w14:paraId="22531EED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69D61DF2" w14:textId="77777777" w:rsidR="00851450" w:rsidRPr="00851450" w:rsidRDefault="00851450" w:rsidP="00851450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In 1950 </w:t>
                </w:r>
                <w:proofErr w:type="spellStart"/>
                <w:r w:rsidRPr="00851450">
                  <w:rPr>
                    <w:lang w:val="en-US"/>
                  </w:rPr>
                  <w:t>Boucherle</w:t>
                </w:r>
                <w:proofErr w:type="spellEnd"/>
                <w:r w:rsidRPr="00851450">
                  <w:rPr>
                    <w:lang w:val="en-US"/>
                  </w:rPr>
                  <w:t xml:space="preserve"> and Ben Abdallah served on a Protectorate committee that oversaw the </w:t>
                </w:r>
                <w:r w:rsidRPr="00851450">
                  <w:rPr>
                    <w:lang w:val="en-US"/>
                  </w:rPr>
                  <w:lastRenderedPageBreak/>
                  <w:t xml:space="preserve">decoration of buildings under the 1% law. This body established a patronage network between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, colonial art institutions, and state infrastructure, and secured more than two decades of commissions for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 </w:t>
                </w:r>
                <w:r w:rsidRPr="00851450">
                  <w:rPr>
                    <w:lang w:val="en-US"/>
                  </w:rPr>
                  <w:t xml:space="preserve">artists. It also provided the basis for a postcolonial interrogation of the decorative arts and the role of artist-designer. </w:t>
                </w:r>
              </w:p>
              <w:p w14:paraId="5647C16D" w14:textId="77777777" w:rsidR="00851450" w:rsidRPr="00851450" w:rsidRDefault="00851450" w:rsidP="00851450">
                <w:pPr>
                  <w:rPr>
                    <w:lang w:val="en-US"/>
                  </w:rPr>
                </w:pPr>
              </w:p>
              <w:p w14:paraId="031D387D" w14:textId="5891D12D" w:rsidR="003F0D73" w:rsidRPr="00137E85" w:rsidRDefault="00851450" w:rsidP="00C27FAB">
                <w:pPr>
                  <w:rPr>
                    <w:lang w:val="en-US"/>
                  </w:rPr>
                </w:pPr>
                <w:r w:rsidRPr="00851450">
                  <w:rPr>
                    <w:lang w:val="en-US"/>
                  </w:rPr>
                  <w:t xml:space="preserve">With Tunisian independence in 1956 </w:t>
                </w:r>
                <w:proofErr w:type="spellStart"/>
                <w:r w:rsidRPr="00851450">
                  <w:rPr>
                    <w:lang w:val="en-US"/>
                  </w:rPr>
                  <w:t>Yahia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Turki</w:t>
                </w:r>
                <w:proofErr w:type="spellEnd"/>
                <w:r w:rsidRPr="00851450">
                  <w:rPr>
                    <w:lang w:val="en-US"/>
                  </w:rPr>
                  <w:t xml:space="preserve"> became president of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. The transition from Protectorate to postcolonial governance altered the group’s composition as some artists left for Europe. The transforming political environment also signaled a shift in materials, as artists such as </w:t>
                </w:r>
                <w:proofErr w:type="spellStart"/>
                <w:r w:rsidRPr="00851450">
                  <w:rPr>
                    <w:lang w:val="en-US"/>
                  </w:rPr>
                  <w:t>Safia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Farhat</w:t>
                </w:r>
                <w:proofErr w:type="spellEnd"/>
                <w:r w:rsidRPr="00851450">
                  <w:rPr>
                    <w:lang w:val="en-US"/>
                  </w:rPr>
                  <w:t xml:space="preserve">, </w:t>
                </w:r>
                <w:proofErr w:type="spellStart"/>
                <w:r w:rsidRPr="00851450">
                  <w:rPr>
                    <w:lang w:val="en-US"/>
                  </w:rPr>
                  <w:t>Abdelaziz</w:t>
                </w:r>
                <w:proofErr w:type="spellEnd"/>
                <w:r w:rsidRPr="00851450">
                  <w:rPr>
                    <w:lang w:val="en-US"/>
                  </w:rPr>
                  <w:t xml:space="preserve"> </w:t>
                </w:r>
                <w:proofErr w:type="spellStart"/>
                <w:r w:rsidRPr="00851450">
                  <w:rPr>
                    <w:lang w:val="en-US"/>
                  </w:rPr>
                  <w:t>Gorgi</w:t>
                </w:r>
                <w:proofErr w:type="spellEnd"/>
                <w:r w:rsidRPr="00851450">
                  <w:rPr>
                    <w:lang w:val="en-US"/>
                  </w:rPr>
                  <w:t xml:space="preserve">, and Ali </w:t>
                </w:r>
                <w:proofErr w:type="spellStart"/>
                <w:r w:rsidRPr="00851450">
                  <w:rPr>
                    <w:lang w:val="en-US"/>
                  </w:rPr>
                  <w:t>Bellagha</w:t>
                </w:r>
                <w:proofErr w:type="spellEnd"/>
                <w:r w:rsidRPr="00851450">
                  <w:rPr>
                    <w:lang w:val="en-US"/>
                  </w:rPr>
                  <w:t xml:space="preserve"> reoriented their scope of production from drawing and painting to the use of materials derived from the local artisanal industry: wool, ceramics, ironwork, wood, and stone. This shift in medium, coupled with an iconographic emphasis on Tunisian cultural patrimony, has led to the frequent </w:t>
                </w:r>
                <w:proofErr w:type="spellStart"/>
                <w:r w:rsidRPr="00851450">
                  <w:rPr>
                    <w:lang w:val="en-US"/>
                  </w:rPr>
                  <w:t>characterisation</w:t>
                </w:r>
                <w:proofErr w:type="spellEnd"/>
                <w:r w:rsidRPr="00851450">
                  <w:rPr>
                    <w:lang w:val="en-US"/>
                  </w:rPr>
                  <w:t xml:space="preserve"> of the </w:t>
                </w:r>
                <w:proofErr w:type="spellStart"/>
                <w:r w:rsidRPr="00851450">
                  <w:rPr>
                    <w:i/>
                    <w:lang w:val="en-US"/>
                  </w:rPr>
                  <w:t>École</w:t>
                </w:r>
                <w:proofErr w:type="spellEnd"/>
                <w:r w:rsidRPr="00851450">
                  <w:rPr>
                    <w:i/>
                    <w:lang w:val="en-US"/>
                  </w:rPr>
                  <w:t xml:space="preserve"> de Tunis</w:t>
                </w:r>
                <w:r w:rsidRPr="00851450">
                  <w:rPr>
                    <w:lang w:val="en-US"/>
                  </w:rPr>
                  <w:t xml:space="preserve"> as </w:t>
                </w:r>
                <w:r w:rsidR="00137E85">
                  <w:rPr>
                    <w:lang w:val="en-US"/>
                  </w:rPr>
                  <w:t>‘</w:t>
                </w:r>
                <w:r w:rsidRPr="00851450">
                  <w:rPr>
                    <w:lang w:val="en-US"/>
                  </w:rPr>
                  <w:t>folkloric</w:t>
                </w:r>
                <w:r w:rsidR="00137E85">
                  <w:rPr>
                    <w:lang w:val="en-US"/>
                  </w:rPr>
                  <w:t>’.</w:t>
                </w:r>
                <w:r w:rsidRPr="00851450">
                  <w:rPr>
                    <w:lang w:val="en-US"/>
                  </w:rPr>
                  <w:t xml:space="preserve"> Affiliated artists enjoyed esteemed careers long after th</w:t>
                </w:r>
                <w:r w:rsidR="00137E85">
                  <w:rPr>
                    <w:lang w:val="en-US"/>
                  </w:rPr>
                  <w:t>e nationalist fervor subsided.</w:t>
                </w:r>
              </w:p>
            </w:tc>
          </w:sdtContent>
        </w:sdt>
      </w:tr>
      <w:tr w:rsidR="003235A7" w14:paraId="26B71602" w14:textId="77777777" w:rsidTr="003235A7">
        <w:tc>
          <w:tcPr>
            <w:tcW w:w="9016" w:type="dxa"/>
          </w:tcPr>
          <w:p w14:paraId="6D3698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60A9D78BF08E242A446BC0D106287CF"/>
              </w:placeholder>
            </w:sdtPr>
            <w:sdtEndPr/>
            <w:sdtContent>
              <w:p w14:paraId="628A3360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id w:val="-1285578603"/>
                    <w:citation/>
                  </w:sdtPr>
                  <w:sdtEndPr/>
                  <w:sdtContent>
                    <w:r w:rsidR="007D2FC4"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Par10 \l 1033 </w:instrText>
                    </w:r>
                    <w:r w:rsidR="007D2FC4"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 xml:space="preserve"> (Paris-Tunis Tunis-Paris: Peintres en Mouvements, 21 avril-20 juin 2010)</w:t>
                    </w:r>
                    <w:r w:rsidR="007D2FC4">
                      <w:fldChar w:fldCharType="end"/>
                    </w:r>
                  </w:sdtContent>
                </w:sdt>
              </w:p>
              <w:p w14:paraId="6AE1D073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81269898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Ben06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(Ben Cheikh)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7406BF2A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83516132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Ben00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(Ben Rhomdane)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1E0A3F8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376888131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Ben02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(N. Ben Rhomdane)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1FF48B8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7584321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Bou97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(Boucherle)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9959CB4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7927330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Bou95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(Bouzid)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BA96169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928691832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Bou64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(Bouzid, Boucherle de l'École de Tunis)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0ABF94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454326078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Che02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(Chelbi)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36460B7" w14:textId="77777777" w:rsidR="007D2FC4" w:rsidRPr="007D2FC4" w:rsidRDefault="00244709" w:rsidP="007D2FC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813047713"/>
                    <w:citation/>
                  </w:sdtPr>
                  <w:sdtEndPr/>
                  <w:sdtContent>
                    <w:r w:rsidR="007D2FC4">
                      <w:rPr>
                        <w:lang w:val="en-US"/>
                      </w:rPr>
                      <w:fldChar w:fldCharType="begin"/>
                    </w:r>
                    <w:r w:rsidR="007D2FC4">
                      <w:rPr>
                        <w:lang w:val="en-US"/>
                      </w:rPr>
                      <w:instrText xml:space="preserve"> CITATION Fil05 \l 1033 </w:instrText>
                    </w:r>
                    <w:r w:rsidR="007D2FC4">
                      <w:rPr>
                        <w:lang w:val="en-US"/>
                      </w:rPr>
                      <w:fldChar w:fldCharType="separate"/>
                    </w:r>
                    <w:r w:rsidR="007D2FC4">
                      <w:rPr>
                        <w:noProof/>
                        <w:lang w:val="en-US"/>
                      </w:rPr>
                      <w:t>(Filali)</w:t>
                    </w:r>
                    <w:r w:rsidR="007D2FC4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DF1F0D" w14:textId="77777777" w:rsidR="003235A7" w:rsidRDefault="00244709" w:rsidP="00FB11DE">
                <w:sdt>
                  <w:sdtPr>
                    <w:id w:val="-51696013"/>
                    <w:citation/>
                  </w:sdtPr>
                  <w:sdtEndPr/>
                  <w:sdtContent>
                    <w:r w:rsidR="0027393D">
                      <w:fldChar w:fldCharType="begin"/>
                    </w:r>
                    <w:r w:rsidR="0027393D">
                      <w:rPr>
                        <w:lang w:val="en-US"/>
                      </w:rPr>
                      <w:instrText xml:space="preserve"> CITATION Lou97 \l 1033 </w:instrText>
                    </w:r>
                    <w:r w:rsidR="0027393D">
                      <w:fldChar w:fldCharType="separate"/>
                    </w:r>
                    <w:r w:rsidR="0027393D">
                      <w:rPr>
                        <w:noProof/>
                        <w:lang w:val="en-US"/>
                      </w:rPr>
                      <w:t>(Louati)</w:t>
                    </w:r>
                    <w:r w:rsidR="0027393D">
                      <w:fldChar w:fldCharType="end"/>
                    </w:r>
                  </w:sdtContent>
                </w:sdt>
              </w:p>
            </w:sdtContent>
          </w:sdt>
        </w:tc>
      </w:tr>
    </w:tbl>
    <w:p w14:paraId="58D40DDC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EE404" w14:textId="77777777" w:rsidR="00244709" w:rsidRDefault="00244709" w:rsidP="007A0D55">
      <w:pPr>
        <w:spacing w:after="0" w:line="240" w:lineRule="auto"/>
      </w:pPr>
      <w:r>
        <w:separator/>
      </w:r>
    </w:p>
  </w:endnote>
  <w:endnote w:type="continuationSeparator" w:id="0">
    <w:p w14:paraId="03F44391" w14:textId="77777777" w:rsidR="00244709" w:rsidRDefault="0024470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2D247" w14:textId="77777777" w:rsidR="00244709" w:rsidRDefault="00244709" w:rsidP="007A0D55">
      <w:pPr>
        <w:spacing w:after="0" w:line="240" w:lineRule="auto"/>
      </w:pPr>
      <w:r>
        <w:separator/>
      </w:r>
    </w:p>
  </w:footnote>
  <w:footnote w:type="continuationSeparator" w:id="0">
    <w:p w14:paraId="461F17E2" w14:textId="77777777" w:rsidR="00244709" w:rsidRDefault="0024470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436D" w14:textId="77777777" w:rsidR="007D2FC4" w:rsidRDefault="007D2FC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AD9473" w14:textId="77777777" w:rsidR="007D2FC4" w:rsidRDefault="007D2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50"/>
    <w:rsid w:val="00032559"/>
    <w:rsid w:val="00052040"/>
    <w:rsid w:val="000B25AE"/>
    <w:rsid w:val="000B55AB"/>
    <w:rsid w:val="000D24DC"/>
    <w:rsid w:val="00101B2E"/>
    <w:rsid w:val="00116FA0"/>
    <w:rsid w:val="00137E85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709"/>
    <w:rsid w:val="00244BB0"/>
    <w:rsid w:val="0027393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2FC4"/>
    <w:rsid w:val="007E5F44"/>
    <w:rsid w:val="00821DE3"/>
    <w:rsid w:val="00846CE1"/>
    <w:rsid w:val="0085145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2CAC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37236"/>
  <w15:docId w15:val="{6500851B-8E6D-462C-B946-417F1605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4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5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7D2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7D2F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9B5153B99B5D44B0EB2F1F8694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C8EE-FCC6-AB43-868A-10B1517331A3}"/>
      </w:docPartPr>
      <w:docPartBody>
        <w:p w:rsidR="002743E1" w:rsidRDefault="00D07DBA">
          <w:pPr>
            <w:pStyle w:val="4C9B5153B99B5D44B0EB2F1F8694B5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13A9DB71418E459EA373A00EA9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C2DE-8D9D-DC4C-A5D9-B12BB390168F}"/>
      </w:docPartPr>
      <w:docPartBody>
        <w:p w:rsidR="002743E1" w:rsidRDefault="00D07DBA">
          <w:pPr>
            <w:pStyle w:val="1113A9DB71418E459EA373A00EA98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660E63412BDF742A1728BB5B2471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795C-C157-EA4A-BFF8-C58265129D26}"/>
      </w:docPartPr>
      <w:docPartBody>
        <w:p w:rsidR="002743E1" w:rsidRDefault="00D07DBA">
          <w:pPr>
            <w:pStyle w:val="6660E63412BDF742A1728BB5B2471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0C504E6686B4541A711465CCE888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8359-8712-B44F-B597-BB37287EB97D}"/>
      </w:docPartPr>
      <w:docPartBody>
        <w:p w:rsidR="002743E1" w:rsidRDefault="00D07DBA">
          <w:pPr>
            <w:pStyle w:val="B0C504E6686B4541A711465CCE8884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2A9D9058A8FC847A75F63699D3C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B6C3-73AB-9249-B882-4AC4D0A2D44F}"/>
      </w:docPartPr>
      <w:docPartBody>
        <w:p w:rsidR="002743E1" w:rsidRDefault="00D07DBA">
          <w:pPr>
            <w:pStyle w:val="52A9D9058A8FC847A75F63699D3C5C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E976050E512E0428F802E0787249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4D24-BEF9-1D40-AB21-3CD9878BF6E7}"/>
      </w:docPartPr>
      <w:docPartBody>
        <w:p w:rsidR="002743E1" w:rsidRDefault="00D07DBA">
          <w:pPr>
            <w:pStyle w:val="FE976050E512E0428F802E07872490F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B775F5C87ADFC4A8C3325B3913E4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38AD9-5D0B-0247-9C16-09F0F227A254}"/>
      </w:docPartPr>
      <w:docPartBody>
        <w:p w:rsidR="002743E1" w:rsidRDefault="00D07DBA">
          <w:pPr>
            <w:pStyle w:val="2B775F5C87ADFC4A8C3325B3913E41A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E7FB0139394140891432D0A458A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4486-B0D6-7C46-8B2E-6C338F0AFF0C}"/>
      </w:docPartPr>
      <w:docPartBody>
        <w:p w:rsidR="002743E1" w:rsidRDefault="00D07DBA">
          <w:pPr>
            <w:pStyle w:val="A1E7FB0139394140891432D0A458AB2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ECF5F681990D043B1E8540D2205C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EDC55-4FF9-0A4D-9DDF-24325202D84F}"/>
      </w:docPartPr>
      <w:docPartBody>
        <w:p w:rsidR="002743E1" w:rsidRDefault="00D07DBA">
          <w:pPr>
            <w:pStyle w:val="3ECF5F681990D043B1E8540D2205C2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BAE9D7C5FFBB4892EFED627BD05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0592B-61DD-474D-B01A-ADDF9A7A4872}"/>
      </w:docPartPr>
      <w:docPartBody>
        <w:p w:rsidR="002743E1" w:rsidRDefault="00D07DBA">
          <w:pPr>
            <w:pStyle w:val="5EBAE9D7C5FFBB4892EFED627BD055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60A9D78BF08E242A446BC0D10628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459C-AE82-E84A-BB4F-672F04333142}"/>
      </w:docPartPr>
      <w:docPartBody>
        <w:p w:rsidR="002743E1" w:rsidRDefault="00D07DBA">
          <w:pPr>
            <w:pStyle w:val="E60A9D78BF08E242A446BC0D106287C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2743E1"/>
    <w:rsid w:val="00D0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9B5153B99B5D44B0EB2F1F8694B577">
    <w:name w:val="4C9B5153B99B5D44B0EB2F1F8694B577"/>
  </w:style>
  <w:style w:type="paragraph" w:customStyle="1" w:styleId="1113A9DB71418E459EA373A00EA98698">
    <w:name w:val="1113A9DB71418E459EA373A00EA98698"/>
  </w:style>
  <w:style w:type="paragraph" w:customStyle="1" w:styleId="6660E63412BDF742A1728BB5B2471CD5">
    <w:name w:val="6660E63412BDF742A1728BB5B2471CD5"/>
  </w:style>
  <w:style w:type="paragraph" w:customStyle="1" w:styleId="B0C504E6686B4541A711465CCE88841D">
    <w:name w:val="B0C504E6686B4541A711465CCE88841D"/>
  </w:style>
  <w:style w:type="paragraph" w:customStyle="1" w:styleId="52A9D9058A8FC847A75F63699D3C5CB6">
    <w:name w:val="52A9D9058A8FC847A75F63699D3C5CB6"/>
  </w:style>
  <w:style w:type="paragraph" w:customStyle="1" w:styleId="FE976050E512E0428F802E07872490FF">
    <w:name w:val="FE976050E512E0428F802E07872490FF"/>
  </w:style>
  <w:style w:type="paragraph" w:customStyle="1" w:styleId="2B775F5C87ADFC4A8C3325B3913E41A1">
    <w:name w:val="2B775F5C87ADFC4A8C3325B3913E41A1"/>
  </w:style>
  <w:style w:type="paragraph" w:customStyle="1" w:styleId="A1E7FB0139394140891432D0A458AB2F">
    <w:name w:val="A1E7FB0139394140891432D0A458AB2F"/>
  </w:style>
  <w:style w:type="paragraph" w:customStyle="1" w:styleId="3ECF5F681990D043B1E8540D2205C202">
    <w:name w:val="3ECF5F681990D043B1E8540D2205C202"/>
  </w:style>
  <w:style w:type="paragraph" w:customStyle="1" w:styleId="5EBAE9D7C5FFBB4892EFED627BD05572">
    <w:name w:val="5EBAE9D7C5FFBB4892EFED627BD05572"/>
  </w:style>
  <w:style w:type="paragraph" w:customStyle="1" w:styleId="E60A9D78BF08E242A446BC0D106287CF">
    <w:name w:val="E60A9D78BF08E242A446BC0D10628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Par10</b:Tag>
    <b:SourceType>Misc</b:SourceType>
    <b:Guid>{227499A7-8DAA-4D41-8266-BC31B5893711}</b:Guid>
    <b:Title>Paris-Tunis Tunis-Paris: Peintres en Mouvements, 21 avril-20 juin 2010</b:Title>
    <b:Year>2010</b:Year>
    <b:Month>April-June</b:Month>
    <b:Day>21st- 20th</b:Day>
    <b:City>Djerba</b:City>
    <b:Publisher>Dar Cherif/Centre International d’Art et de Culture</b:Publisher>
    <b:RefOrder>1</b:RefOrder>
  </b:Source>
  <b:Source>
    <b:Tag>Ben06</b:Tag>
    <b:SourceType>Book</b:SourceType>
    <b:Guid>{4CE3708E-8E3A-E148-83BA-95CAFACB0BF9}</b:Guid>
    <b:Title>Peindre à Tunis: Pratique artistique maghrèbine et histoire</b:Title>
    <b:Year>2006</b:Year>
    <b:City>Paris</b:City>
    <b:Publisher>Harmattan</b:Publisher>
    <b:Author>
      <b:Author>
        <b:NameList>
          <b:Person>
            <b:Last>Ben Cheikh</b:Last>
            <b:First>N.</b:First>
          </b:Person>
        </b:NameList>
      </b:Author>
    </b:Author>
    <b:RefOrder>2</b:RefOrder>
  </b:Source>
  <b:Source>
    <b:Tag>Ben00</b:Tag>
    <b:SourceType>Book</b:SourceType>
    <b:Guid>{5FB7A46A-464D-FC44-805D-9B8BF56159DC}</b:Guid>
    <b:Author>
      <b:Author>
        <b:NameList>
          <b:Person>
            <b:Last>Ben Rhomdane</b:Last>
            <b:First>N.,</b:First>
            <b:Middle>et al.</b:Middle>
          </b:Person>
        </b:NameList>
      </b:Author>
    </b:Author>
    <b:Title>Anthologie de la peinture en Tunisie 1894-1970</b:Title>
    <b:City>Tunis</b:City>
    <b:Publisher>Ministère tunisien de la culture et de la Communauté européenne</b:Publisher>
    <b:Year>2000</b:Year>
    <b:RefOrder>3</b:RefOrder>
  </b:Source>
  <b:Source>
    <b:Tag>Ben02</b:Tag>
    <b:SourceType>Book</b:SourceType>
    <b:Guid>{2B53C7EE-D5D4-B142-89FD-6C5E5A24D1EF}</b:Guid>
    <b:Author>
      <b:Author>
        <b:NameList>
          <b:Person>
            <b:Last>Ben Rhomdane</b:Last>
            <b:First>N.</b:First>
          </b:Person>
        </b:NameList>
      </b:Author>
    </b:Author>
    <b:Title>Les pionniers de la peinture en Tunisie</b:Title>
    <b:City>Tunis</b:City>
    <b:Publisher>Ministère de la Culture</b:Publisher>
    <b:Year>2002</b:Year>
    <b:RefOrder>4</b:RefOrder>
  </b:Source>
  <b:Source>
    <b:Tag>Bou97</b:Tag>
    <b:SourceType>Book</b:SourceType>
    <b:Guid>{1FD5AE12-7A3C-7C40-A2BD-BB8170E6FC96}</b:Guid>
    <b:Author>
      <b:Author>
        <b:NameList>
          <b:Person>
            <b:Last>Boucherle</b:Last>
            <b:First>F.</b:First>
          </b:Person>
        </b:NameList>
      </b:Author>
    </b:Author>
    <b:Title>Boucherle: Aux Origines de l'École de Tunis</b:Title>
    <b:City>Tunis</b:City>
    <b:Publisher>Cérès Editions</b:Publisher>
    <b:Year>1997</b:Year>
    <b:RefOrder>5</b:RefOrder>
  </b:Source>
  <b:Source>
    <b:Tag>Bou95</b:Tag>
    <b:SourceType>Misc</b:SourceType>
    <b:Guid>{81A64344-FCA3-6042-8D75-2BAEBC639EAB}</b:Guid>
    <b:Author>
      <b:Author>
        <b:NameList>
          <b:Person>
            <b:Last>Bouzid</b:Last>
            <b:First>D.</b:First>
          </b:Person>
        </b:NameList>
      </b:Author>
    </b:Author>
    <b:Title>École de Tunis</b:Title>
    <b:City>Tunis</b:City>
    <b:Publisher>Alif- Les Editions de la Méditerranée</b:Publisher>
    <b:Year>1995</b:Year>
    <b:RefOrder>6</b:RefOrder>
  </b:Source>
  <b:Source>
    <b:Tag>Bou64</b:Tag>
    <b:SourceType>JournalArticle</b:SourceType>
    <b:Guid>{D948FAD3-E2D6-AE41-AD3F-4C2B52B0CD27}</b:Guid>
    <b:Author>
      <b:Author>
        <b:NameList>
          <b:Person>
            <b:Last>Bouzid</b:Last>
            <b:First>D.</b:First>
          </b:Person>
        </b:NameList>
      </b:Author>
    </b:Author>
    <b:Title>Boucherle de l'École de Tunis</b:Title>
    <b:PublicationTitle>Bouzid, D. (1964) ‘Boucherle de l'École de Tunis’, Faïza 39: 20-23+48. </b:PublicationTitle>
    <b:Year>1964</b:Year>
    <b:Pages>20-23; 48</b:Pages>
    <b:Volume>39</b:Volume>
    <b:JournalName>Faïza</b:JournalName>
    <b:RefOrder>7</b:RefOrder>
  </b:Source>
  <b:Source>
    <b:Tag>Che02</b:Tag>
    <b:SourceType>Book</b:SourceType>
    <b:Guid>{E0B7B249-366A-9446-9611-26D012DACAEB}</b:Guid>
    <b:Title>La Quête de la Tunisianité</b:Title>
    <b:Publisher>Finzi</b:Publisher>
    <b:City>Tunis</b:City>
    <b:Year>2002</b:Year>
    <b:Author>
      <b:Author>
        <b:NameList>
          <b:Person>
            <b:Last>Chelbi</b:Last>
            <b:First>M.</b:First>
          </b:Person>
        </b:NameList>
      </b:Author>
    </b:Author>
    <b:RefOrder>8</b:RefOrder>
  </b:Source>
  <b:Source>
    <b:Tag>Fil05</b:Tag>
    <b:SourceType>Book</b:SourceType>
    <b:Guid>{E6C4C0D9-9ABA-CA42-89A4-911A97207FBA}</b:Guid>
    <b:Author>
      <b:Author>
        <b:NameList>
          <b:Person>
            <b:Last>Filali</b:Last>
            <b:First>A.</b:First>
          </b:Person>
        </b:NameList>
      </b:Author>
    </b:Author>
    <b:Title>Safia Farhat: Une Biographie</b:Title>
    <b:City>Tunis</b:City>
    <b:Publisher>MIM Editions</b:Publisher>
    <b:Year>2005</b:Year>
    <b:RefOrder>9</b:RefOrder>
  </b:Source>
  <b:Source>
    <b:Tag>Lou97</b:Tag>
    <b:SourceType>Book</b:SourceType>
    <b:Guid>{1CABE7BD-D8C0-2247-ABAE-1656A15A794F}</b:Guid>
    <b:Author>
      <b:Author>
        <b:NameList>
          <b:Person>
            <b:Last>Louati</b:Last>
            <b:First>A.</b:First>
          </b:Person>
        </b:NameList>
      </b:Author>
    </b:Author>
    <b:Title>L’aventure de l’art moderne en Tunisie</b:Title>
    <b:City>Tunis</b:City>
    <b:Publisher>Simpact Editions</b:Publisher>
    <b:Year>1997</b:Year>
    <b:RefOrder>10</b:RefOrder>
  </b:Source>
</b:Sources>
</file>

<file path=customXml/itemProps1.xml><?xml version="1.0" encoding="utf-8"?>
<ds:datastoreItem xmlns:ds="http://schemas.openxmlformats.org/officeDocument/2006/customXml" ds:itemID="{D31F2EA4-519E-454D-A35E-1632C278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Rachelle Ann Tan</cp:lastModifiedBy>
  <cp:revision>3</cp:revision>
  <dcterms:created xsi:type="dcterms:W3CDTF">2016-04-29T01:22:00Z</dcterms:created>
  <dcterms:modified xsi:type="dcterms:W3CDTF">2016-05-08T18:29:00Z</dcterms:modified>
</cp:coreProperties>
</file>