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435819" w14:textId="77777777" w:rsidTr="00922950">
        <w:tc>
          <w:tcPr>
            <w:tcW w:w="491" w:type="dxa"/>
            <w:vMerge w:val="restart"/>
            <w:shd w:val="clear" w:color="auto" w:fill="A6A6A6" w:themeFill="background1" w:themeFillShade="A6"/>
            <w:textDirection w:val="btLr"/>
          </w:tcPr>
          <w:p w14:paraId="6C6DE2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976BE033EBDF4F8ACBD7AF6F8CD65B"/>
            </w:placeholder>
            <w:showingPlcHdr/>
            <w:dropDownList>
              <w:listItem w:displayText="Dr." w:value="Dr."/>
              <w:listItem w:displayText="Prof." w:value="Prof."/>
            </w:dropDownList>
          </w:sdtPr>
          <w:sdtEndPr/>
          <w:sdtContent>
            <w:tc>
              <w:tcPr>
                <w:tcW w:w="1259" w:type="dxa"/>
              </w:tcPr>
              <w:p w14:paraId="4E91C7A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F6C9242224B94E96574E1376F39CFB"/>
            </w:placeholder>
            <w:text/>
          </w:sdtPr>
          <w:sdtEndPr/>
          <w:sdtContent>
            <w:tc>
              <w:tcPr>
                <w:tcW w:w="2073" w:type="dxa"/>
              </w:tcPr>
              <w:p w14:paraId="49A6132F" w14:textId="77777777" w:rsidR="00B574C9" w:rsidRDefault="006270F7" w:rsidP="006270F7">
                <w:proofErr w:type="spellStart"/>
                <w:r>
                  <w:t>Chaitanya</w:t>
                </w:r>
                <w:proofErr w:type="spellEnd"/>
              </w:p>
            </w:tc>
          </w:sdtContent>
        </w:sdt>
        <w:sdt>
          <w:sdtPr>
            <w:alias w:val="Middle name"/>
            <w:tag w:val="authorMiddleName"/>
            <w:id w:val="-2076034781"/>
            <w:placeholder>
              <w:docPart w:val="533276333439ED45B2898F7B375EFABD"/>
            </w:placeholder>
            <w:showingPlcHdr/>
            <w:text/>
          </w:sdtPr>
          <w:sdtEndPr/>
          <w:sdtContent>
            <w:tc>
              <w:tcPr>
                <w:tcW w:w="2551" w:type="dxa"/>
              </w:tcPr>
              <w:p w14:paraId="033ADC07" w14:textId="77777777" w:rsidR="00B574C9" w:rsidRDefault="00B574C9" w:rsidP="00922950">
                <w:r>
                  <w:rPr>
                    <w:rStyle w:val="PlaceholderText"/>
                  </w:rPr>
                  <w:t>[Middle name]</w:t>
                </w:r>
              </w:p>
            </w:tc>
          </w:sdtContent>
        </w:sdt>
        <w:sdt>
          <w:sdtPr>
            <w:alias w:val="Last name"/>
            <w:tag w:val="authorLastName"/>
            <w:id w:val="-1088529830"/>
            <w:placeholder>
              <w:docPart w:val="9BF133E33BCE35478CF4E4210A9BCE3D"/>
            </w:placeholder>
            <w:text/>
          </w:sdtPr>
          <w:sdtEndPr/>
          <w:sdtContent>
            <w:tc>
              <w:tcPr>
                <w:tcW w:w="2642" w:type="dxa"/>
              </w:tcPr>
              <w:p w14:paraId="0417A5E1" w14:textId="77777777" w:rsidR="00B574C9" w:rsidRDefault="006270F7" w:rsidP="006270F7">
                <w:proofErr w:type="spellStart"/>
                <w:r>
                  <w:t>Sambrani</w:t>
                </w:r>
                <w:proofErr w:type="spellEnd"/>
              </w:p>
            </w:tc>
          </w:sdtContent>
        </w:sdt>
      </w:tr>
      <w:tr w:rsidR="00B574C9" w14:paraId="0A2150B5" w14:textId="77777777" w:rsidTr="001A6A06">
        <w:trPr>
          <w:trHeight w:val="986"/>
        </w:trPr>
        <w:tc>
          <w:tcPr>
            <w:tcW w:w="491" w:type="dxa"/>
            <w:vMerge/>
            <w:shd w:val="clear" w:color="auto" w:fill="A6A6A6" w:themeFill="background1" w:themeFillShade="A6"/>
          </w:tcPr>
          <w:p w14:paraId="249779C3" w14:textId="77777777" w:rsidR="00B574C9" w:rsidRPr="001A6A06" w:rsidRDefault="00B574C9" w:rsidP="00CF1542">
            <w:pPr>
              <w:jc w:val="center"/>
              <w:rPr>
                <w:b/>
                <w:color w:val="FFFFFF" w:themeColor="background1"/>
              </w:rPr>
            </w:pPr>
          </w:p>
        </w:tc>
        <w:sdt>
          <w:sdtPr>
            <w:alias w:val="Biography"/>
            <w:tag w:val="authorBiography"/>
            <w:id w:val="938807824"/>
            <w:placeholder>
              <w:docPart w:val="8B44504040DF7C4B8B622282284297E7"/>
            </w:placeholder>
            <w:showingPlcHdr/>
          </w:sdtPr>
          <w:sdtEndPr/>
          <w:sdtContent>
            <w:tc>
              <w:tcPr>
                <w:tcW w:w="8525" w:type="dxa"/>
                <w:gridSpan w:val="4"/>
              </w:tcPr>
              <w:p w14:paraId="6226EB64" w14:textId="77777777" w:rsidR="00B574C9" w:rsidRDefault="00B574C9" w:rsidP="00922950">
                <w:r>
                  <w:rPr>
                    <w:rStyle w:val="PlaceholderText"/>
                  </w:rPr>
                  <w:t>[Enter your biography]</w:t>
                </w:r>
              </w:p>
            </w:tc>
          </w:sdtContent>
        </w:sdt>
      </w:tr>
      <w:tr w:rsidR="00B574C9" w14:paraId="03FE34E8" w14:textId="77777777" w:rsidTr="001A6A06">
        <w:trPr>
          <w:trHeight w:val="986"/>
        </w:trPr>
        <w:tc>
          <w:tcPr>
            <w:tcW w:w="491" w:type="dxa"/>
            <w:vMerge/>
            <w:shd w:val="clear" w:color="auto" w:fill="A6A6A6" w:themeFill="background1" w:themeFillShade="A6"/>
          </w:tcPr>
          <w:p w14:paraId="3B21E4CE" w14:textId="77777777" w:rsidR="00B574C9" w:rsidRPr="001A6A06" w:rsidRDefault="00B574C9" w:rsidP="00CF1542">
            <w:pPr>
              <w:jc w:val="center"/>
              <w:rPr>
                <w:b/>
                <w:color w:val="FFFFFF" w:themeColor="background1"/>
              </w:rPr>
            </w:pPr>
          </w:p>
        </w:tc>
        <w:sdt>
          <w:sdtPr>
            <w:alias w:val="Affiliation"/>
            <w:tag w:val="affiliation"/>
            <w:id w:val="2012937915"/>
            <w:placeholder>
              <w:docPart w:val="C421C3D3C7CDB140978566D78BD01843"/>
            </w:placeholder>
            <w:text/>
          </w:sdtPr>
          <w:sdtEndPr/>
          <w:sdtContent>
            <w:tc>
              <w:tcPr>
                <w:tcW w:w="8525" w:type="dxa"/>
                <w:gridSpan w:val="4"/>
              </w:tcPr>
              <w:p w14:paraId="1E537D64" w14:textId="77777777" w:rsidR="00B574C9" w:rsidRDefault="006270F7" w:rsidP="006270F7">
                <w:r>
                  <w:t>Australian National University</w:t>
                </w:r>
              </w:p>
            </w:tc>
          </w:sdtContent>
        </w:sdt>
      </w:tr>
    </w:tbl>
    <w:p w14:paraId="4A4058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C1823A9" w14:textId="77777777" w:rsidTr="00244BB0">
        <w:tc>
          <w:tcPr>
            <w:tcW w:w="9016" w:type="dxa"/>
            <w:shd w:val="clear" w:color="auto" w:fill="A6A6A6" w:themeFill="background1" w:themeFillShade="A6"/>
            <w:tcMar>
              <w:top w:w="113" w:type="dxa"/>
              <w:bottom w:w="113" w:type="dxa"/>
            </w:tcMar>
          </w:tcPr>
          <w:p w14:paraId="217D39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A035A1" w14:textId="77777777" w:rsidTr="003F0D73">
        <w:sdt>
          <w:sdtPr>
            <w:alias w:val="Article headword"/>
            <w:tag w:val="articleHeadword"/>
            <w:id w:val="-361440020"/>
            <w:placeholder>
              <w:docPart w:val="A91A0E89841A924DAC5323CA0D9B8764"/>
            </w:placeholder>
            <w:text/>
          </w:sdtPr>
          <w:sdtEndPr/>
          <w:sdtContent>
            <w:tc>
              <w:tcPr>
                <w:tcW w:w="9016" w:type="dxa"/>
                <w:tcMar>
                  <w:top w:w="113" w:type="dxa"/>
                  <w:bottom w:w="113" w:type="dxa"/>
                </w:tcMar>
              </w:tcPr>
              <w:p w14:paraId="251CEC41" w14:textId="77777777" w:rsidR="003F0D73" w:rsidRPr="00FB589A" w:rsidRDefault="006270F7" w:rsidP="006270F7">
                <w:pPr>
                  <w:rPr>
                    <w:b/>
                  </w:rPr>
                </w:pPr>
                <w:proofErr w:type="spellStart"/>
                <w:r w:rsidRPr="006270F7">
                  <w:t>Gunawan</w:t>
                </w:r>
                <w:proofErr w:type="spellEnd"/>
                <w:r w:rsidRPr="006270F7">
                  <w:t xml:space="preserve">, </w:t>
                </w:r>
                <w:proofErr w:type="spellStart"/>
                <w:r w:rsidRPr="006270F7">
                  <w:t>Hendra</w:t>
                </w:r>
                <w:proofErr w:type="spellEnd"/>
                <w:r w:rsidRPr="006270F7">
                  <w:t xml:space="preserve"> (1918-1983)</w:t>
                </w:r>
              </w:p>
            </w:tc>
          </w:sdtContent>
        </w:sdt>
      </w:tr>
      <w:tr w:rsidR="00464699" w14:paraId="70661677" w14:textId="77777777" w:rsidTr="007821B0">
        <w:sdt>
          <w:sdtPr>
            <w:alias w:val="Variant headwords"/>
            <w:tag w:val="variantHeadwords"/>
            <w:id w:val="173464402"/>
            <w:placeholder>
              <w:docPart w:val="E33085E9FD971A4F8DECF940C398A000"/>
            </w:placeholder>
            <w:showingPlcHdr/>
          </w:sdtPr>
          <w:sdtEndPr/>
          <w:sdtContent>
            <w:tc>
              <w:tcPr>
                <w:tcW w:w="9016" w:type="dxa"/>
                <w:tcMar>
                  <w:top w:w="113" w:type="dxa"/>
                  <w:bottom w:w="113" w:type="dxa"/>
                </w:tcMar>
              </w:tcPr>
              <w:p w14:paraId="5A364E4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3D47B2" w14:textId="77777777" w:rsidTr="003F0D73">
        <w:sdt>
          <w:sdtPr>
            <w:alias w:val="Abstract"/>
            <w:tag w:val="abstract"/>
            <w:id w:val="-635871867"/>
            <w:placeholder>
              <w:docPart w:val="2AC3C33347B468419AF2F9F0DAC89B73"/>
            </w:placeholder>
          </w:sdtPr>
          <w:sdtEndPr/>
          <w:sdtContent>
            <w:tc>
              <w:tcPr>
                <w:tcW w:w="9016" w:type="dxa"/>
                <w:tcMar>
                  <w:top w:w="113" w:type="dxa"/>
                  <w:bottom w:w="113" w:type="dxa"/>
                </w:tcMar>
              </w:tcPr>
              <w:p w14:paraId="1778CC2B" w14:textId="77777777" w:rsidR="00E85A05" w:rsidRDefault="006270F7" w:rsidP="00E85A05">
                <w:r>
                  <w:t xml:space="preserve">Known in Indonesia as the peoples’ painter, </w:t>
                </w:r>
                <w:proofErr w:type="spellStart"/>
                <w:r>
                  <w:t>Hendra</w:t>
                </w:r>
                <w:proofErr w:type="spellEnd"/>
                <w:r>
                  <w:t xml:space="preserve"> </w:t>
                </w:r>
                <w:proofErr w:type="spellStart"/>
                <w:r>
                  <w:t>Gunawan</w:t>
                </w:r>
                <w:proofErr w:type="spellEnd"/>
                <w:r>
                  <w:t xml:space="preserve"> was born in Bandung. Family circumstances were strained with a father who gambled and his parents divorced while </w:t>
                </w:r>
                <w:proofErr w:type="spellStart"/>
                <w:r>
                  <w:t>Hendra</w:t>
                </w:r>
                <w:proofErr w:type="spellEnd"/>
                <w:r>
                  <w:t xml:space="preserve"> was still a child. After finishing high school, </w:t>
                </w:r>
                <w:proofErr w:type="spellStart"/>
                <w:r>
                  <w:t>Hendra</w:t>
                </w:r>
                <w:proofErr w:type="spellEnd"/>
                <w:r>
                  <w:t xml:space="preserve"> was part of a theatrical troupe, painting scenery as well as acting and dancing on stage. During the late 1930s, he is presumed to have studied landscape painting with </w:t>
                </w:r>
                <w:proofErr w:type="spellStart"/>
                <w:r>
                  <w:t>Wahdi</w:t>
                </w:r>
                <w:proofErr w:type="spellEnd"/>
                <w:r>
                  <w:t xml:space="preserve"> and modern art with </w:t>
                </w:r>
                <w:proofErr w:type="spellStart"/>
                <w:r>
                  <w:t>Giorgi</w:t>
                </w:r>
                <w:proofErr w:type="spellEnd"/>
                <w:r>
                  <w:t xml:space="preserve"> </w:t>
                </w:r>
                <w:proofErr w:type="spellStart"/>
                <w:r>
                  <w:t>Giseken</w:t>
                </w:r>
                <w:proofErr w:type="spellEnd"/>
                <w:r>
                  <w:t xml:space="preserve">, a Bandung industrialist. It was after meeting </w:t>
                </w:r>
                <w:proofErr w:type="spellStart"/>
                <w:r>
                  <w:t>Affandi</w:t>
                </w:r>
                <w:proofErr w:type="spellEnd"/>
                <w:r>
                  <w:t xml:space="preserve"> in 1939 that he took up painting seriously. </w:t>
                </w:r>
                <w:proofErr w:type="spellStart"/>
                <w:r>
                  <w:t>Hendra</w:t>
                </w:r>
                <w:proofErr w:type="spellEnd"/>
                <w:r>
                  <w:t xml:space="preserve"> was associated with a number of artists’ organisations as well as popular culture. His career was marked by a deep interest in representing the lives of common people: villagers, farmers, folk dancers and prostitutes. Scenes of family gatherings, beach, festivals and marketplaces abound in his oeuvre. His art practice continued throughout his thirteen years spent as a political prisoner (1965-1978). In fact, it was during his prison years that he arrived at his mature style characterised by radiant, sometimes discordant colour, and sinuous figures with exaggerated and distorted limbs. Especially in his later career, </w:t>
                </w:r>
                <w:proofErr w:type="spellStart"/>
                <w:r>
                  <w:t>Hendra</w:t>
                </w:r>
                <w:proofErr w:type="spellEnd"/>
                <w:r>
                  <w:t xml:space="preserve"> created paintings approximating history paintings in scale, about four metres in width.  Even after his release from prison, the stigma of having been branded an enemy of the nation continued to influence his reception. To date, there has been no </w:t>
                </w:r>
                <w:r w:rsidRPr="00E076FC">
                  <w:rPr>
                    <w:i/>
                  </w:rPr>
                  <w:t xml:space="preserve">catalogue </w:t>
                </w:r>
                <w:proofErr w:type="spellStart"/>
                <w:r w:rsidRPr="00E076FC">
                  <w:rPr>
                    <w:i/>
                  </w:rPr>
                  <w:t>raisonn</w:t>
                </w:r>
                <w:r>
                  <w:rPr>
                    <w:i/>
                  </w:rPr>
                  <w:t>é</w:t>
                </w:r>
                <w:proofErr w:type="spellEnd"/>
                <w:r>
                  <w:t xml:space="preserve"> or retros</w:t>
                </w:r>
                <w:bookmarkStart w:id="0" w:name="_GoBack"/>
                <w:bookmarkEnd w:id="0"/>
                <w:r>
                  <w:t xml:space="preserve">pective exhibition of his work. </w:t>
                </w:r>
                <w:proofErr w:type="spellStart"/>
                <w:r>
                  <w:t>Hendra</w:t>
                </w:r>
                <w:proofErr w:type="spellEnd"/>
                <w:r>
                  <w:t xml:space="preserve"> </w:t>
                </w:r>
                <w:proofErr w:type="spellStart"/>
                <w:r>
                  <w:t>Gunawan</w:t>
                </w:r>
                <w:proofErr w:type="spellEnd"/>
                <w:r>
                  <w:t xml:space="preserve"> died five years after his release from prison.</w:t>
                </w:r>
              </w:p>
            </w:tc>
          </w:sdtContent>
        </w:sdt>
      </w:tr>
      <w:tr w:rsidR="003F0D73" w14:paraId="5F371694" w14:textId="77777777" w:rsidTr="003F0D73">
        <w:sdt>
          <w:sdtPr>
            <w:alias w:val="Article text"/>
            <w:tag w:val="articleText"/>
            <w:id w:val="634067588"/>
            <w:placeholder>
              <w:docPart w:val="76DECF9FEC3EA34A8647734B50A0BF6B"/>
            </w:placeholder>
          </w:sdtPr>
          <w:sdtEndPr/>
          <w:sdtContent>
            <w:tc>
              <w:tcPr>
                <w:tcW w:w="9016" w:type="dxa"/>
                <w:tcMar>
                  <w:top w:w="113" w:type="dxa"/>
                  <w:bottom w:w="113" w:type="dxa"/>
                </w:tcMar>
              </w:tcPr>
              <w:p w14:paraId="19F42260" w14:textId="77777777" w:rsidR="004710CD" w:rsidRDefault="004710CD" w:rsidP="004710CD">
                <w:pPr>
                  <w:rPr>
                    <w:color w:val="1155CC"/>
                    <w:u w:val="single"/>
                  </w:rPr>
                </w:pPr>
                <w:r>
                  <w:rPr>
                    <w:b/>
                  </w:rPr>
                  <w:t xml:space="preserve">Image: </w:t>
                </w:r>
                <w:r w:rsidRPr="008A2EC4">
                  <w:rPr>
                    <w:i/>
                    <w:color w:val="222222"/>
                    <w:szCs w:val="19"/>
                    <w:shd w:val="clear" w:color="auto" w:fill="FFFFFF"/>
                  </w:rPr>
                  <w:t>Farmer’s Family</w:t>
                </w:r>
                <w:r w:rsidRPr="008A2EC4">
                  <w:rPr>
                    <w:color w:val="222222"/>
                    <w:szCs w:val="19"/>
                    <w:shd w:val="clear" w:color="auto" w:fill="FFFFFF"/>
                  </w:rPr>
                  <w:t xml:space="preserve">, 1973, oil on canvas, 145x199.5 cm, </w:t>
                </w:r>
                <w:proofErr w:type="spellStart"/>
                <w:proofErr w:type="gramStart"/>
                <w:r w:rsidRPr="008A2EC4">
                  <w:rPr>
                    <w:color w:val="222222"/>
                    <w:szCs w:val="19"/>
                    <w:shd w:val="clear" w:color="auto" w:fill="FFFFFF"/>
                  </w:rPr>
                  <w:t>coll</w:t>
                </w:r>
                <w:proofErr w:type="spellEnd"/>
                <w:proofErr w:type="gramEnd"/>
                <w:r w:rsidRPr="008A2EC4">
                  <w:rPr>
                    <w:color w:val="222222"/>
                    <w:szCs w:val="19"/>
                    <w:shd w:val="clear" w:color="auto" w:fill="FFFFFF"/>
                  </w:rPr>
                  <w:t xml:space="preserve">: </w:t>
                </w:r>
                <w:proofErr w:type="spellStart"/>
                <w:r w:rsidRPr="008A2EC4">
                  <w:rPr>
                    <w:color w:val="222222"/>
                    <w:szCs w:val="19"/>
                    <w:shd w:val="clear" w:color="auto" w:fill="FFFFFF"/>
                  </w:rPr>
                  <w:t>Oei</w:t>
                </w:r>
                <w:proofErr w:type="spellEnd"/>
                <w:r w:rsidRPr="008A2EC4">
                  <w:rPr>
                    <w:color w:val="222222"/>
                    <w:szCs w:val="19"/>
                    <w:shd w:val="clear" w:color="auto" w:fill="FFFFFF"/>
                  </w:rPr>
                  <w:t xml:space="preserve"> Hong </w:t>
                </w:r>
                <w:proofErr w:type="spellStart"/>
                <w:r w:rsidRPr="008A2EC4">
                  <w:rPr>
                    <w:color w:val="222222"/>
                    <w:szCs w:val="19"/>
                    <w:shd w:val="clear" w:color="auto" w:fill="FFFFFF"/>
                  </w:rPr>
                  <w:t>Djien</w:t>
                </w:r>
                <w:proofErr w:type="spellEnd"/>
                <w:r w:rsidRPr="008A2EC4">
                  <w:rPr>
                    <w:color w:val="222222"/>
                    <w:szCs w:val="19"/>
                    <w:shd w:val="clear" w:color="auto" w:fill="FFFFFF"/>
                  </w:rPr>
                  <w:t xml:space="preserve"> Museum, </w:t>
                </w:r>
                <w:proofErr w:type="spellStart"/>
                <w:r w:rsidRPr="008A2EC4">
                  <w:rPr>
                    <w:color w:val="222222"/>
                    <w:szCs w:val="19"/>
                    <w:shd w:val="clear" w:color="auto" w:fill="FFFFFF"/>
                  </w:rPr>
                  <w:t>Magelang</w:t>
                </w:r>
                <w:proofErr w:type="spellEnd"/>
                <w:r w:rsidRPr="008A2EC4">
                  <w:rPr>
                    <w:color w:val="222222"/>
                    <w:szCs w:val="19"/>
                    <w:shd w:val="clear" w:color="auto" w:fill="FFFFFF"/>
                  </w:rPr>
                  <w:t>. Email:</w:t>
                </w:r>
                <w:r w:rsidRPr="008A2EC4">
                  <w:rPr>
                    <w:color w:val="222222"/>
                  </w:rPr>
                  <w:t> </w:t>
                </w:r>
                <w:r>
                  <w:fldChar w:fldCharType="begin"/>
                </w:r>
                <w:r>
                  <w:instrText xml:space="preserve"> HYPERLINK "mailto:ohd.artmuseum@yahoo.com" \t "_blank" </w:instrText>
                </w:r>
                <w:r>
                  <w:fldChar w:fldCharType="separate"/>
                </w:r>
                <w:proofErr w:type="spellStart"/>
                <w:r w:rsidRPr="008A2EC4">
                  <w:rPr>
                    <w:color w:val="1155CC"/>
                    <w:u w:val="single"/>
                  </w:rPr>
                  <w:t>ohd.artmuseum@yahoo.com</w:t>
                </w:r>
                <w:r>
                  <w:rPr>
                    <w:color w:val="1155CC"/>
                    <w:u w:val="single"/>
                  </w:rPr>
                  <w:fldChar w:fldCharType="end"/>
                </w:r>
                <w:r w:rsidRPr="008A2EC4">
                  <w:rPr>
                    <w:color w:val="222222"/>
                    <w:szCs w:val="19"/>
                    <w:shd w:val="clear" w:color="auto" w:fill="FFFFFF"/>
                  </w:rPr>
                  <w:t>website</w:t>
                </w:r>
                <w:proofErr w:type="spellEnd"/>
                <w:r w:rsidRPr="008A2EC4">
                  <w:rPr>
                    <w:color w:val="222222"/>
                    <w:szCs w:val="19"/>
                    <w:shd w:val="clear" w:color="auto" w:fill="FFFFFF"/>
                  </w:rPr>
                  <w:t>:</w:t>
                </w:r>
                <w:r w:rsidRPr="008A2EC4">
                  <w:rPr>
                    <w:color w:val="222222"/>
                  </w:rPr>
                  <w:t> </w:t>
                </w:r>
                <w:r>
                  <w:fldChar w:fldCharType="begin"/>
                </w:r>
                <w:r>
                  <w:instrText xml:space="preserve"> HYPERLINK "http://www.ohdmuseum.com/" \t "_blank" </w:instrText>
                </w:r>
                <w:r>
                  <w:fldChar w:fldCharType="separate"/>
                </w:r>
                <w:r w:rsidRPr="008A2EC4">
                  <w:rPr>
                    <w:color w:val="1155CC"/>
                    <w:u w:val="single"/>
                  </w:rPr>
                  <w:t>www.ohdmuseum</w:t>
                </w:r>
                <w:r w:rsidRPr="008A2EC4">
                  <w:rPr>
                    <w:color w:val="1155CC"/>
                    <w:u w:val="single"/>
                  </w:rPr>
                  <w:t>.</w:t>
                </w:r>
                <w:r w:rsidRPr="008A2EC4">
                  <w:rPr>
                    <w:color w:val="1155CC"/>
                    <w:u w:val="single"/>
                  </w:rPr>
                  <w:t>com</w:t>
                </w:r>
                <w:r>
                  <w:rPr>
                    <w:color w:val="1155CC"/>
                    <w:u w:val="single"/>
                  </w:rPr>
                  <w:fldChar w:fldCharType="end"/>
                </w:r>
              </w:p>
              <w:p w14:paraId="5B839CA4" w14:textId="5046DD6C" w:rsidR="00032B0D" w:rsidRPr="008A2EC4" w:rsidRDefault="00032B0D" w:rsidP="004710CD">
                <w:pPr>
                  <w:rPr>
                    <w:rFonts w:ascii="Times" w:hAnsi="Times"/>
                    <w:sz w:val="20"/>
                    <w:szCs w:val="20"/>
                  </w:rPr>
                </w:pPr>
                <w:r>
                  <w:rPr>
                    <w:color w:val="1155CC"/>
                    <w:u w:val="single"/>
                  </w:rPr>
                  <w:t xml:space="preserve">Source: </w:t>
                </w:r>
              </w:p>
              <w:p w14:paraId="45D784E2" w14:textId="77777777" w:rsidR="004710CD" w:rsidRDefault="004710CD" w:rsidP="006270F7"/>
              <w:p w14:paraId="78119AEE" w14:textId="77777777" w:rsidR="006270F7" w:rsidRDefault="006270F7" w:rsidP="006270F7">
                <w:r>
                  <w:t xml:space="preserve">Known in Indonesia as the peoples’ painter, </w:t>
                </w:r>
                <w:proofErr w:type="spellStart"/>
                <w:r>
                  <w:t>Hendra</w:t>
                </w:r>
                <w:proofErr w:type="spellEnd"/>
                <w:r>
                  <w:t xml:space="preserve"> </w:t>
                </w:r>
                <w:proofErr w:type="spellStart"/>
                <w:r>
                  <w:t>Gunawan</w:t>
                </w:r>
                <w:proofErr w:type="spellEnd"/>
                <w:r>
                  <w:t xml:space="preserve"> was born in Bandung. Family circumstances were strained with a father who gambled and his parents divorced while </w:t>
                </w:r>
                <w:proofErr w:type="spellStart"/>
                <w:r>
                  <w:t>Hendra</w:t>
                </w:r>
                <w:proofErr w:type="spellEnd"/>
                <w:r>
                  <w:t xml:space="preserve"> was still a child. After finishing high school, </w:t>
                </w:r>
                <w:proofErr w:type="spellStart"/>
                <w:r>
                  <w:t>Hendra</w:t>
                </w:r>
                <w:proofErr w:type="spellEnd"/>
                <w:r>
                  <w:t xml:space="preserve"> was part of a theatrical troupe, painting scenery as well as acting and dancing on stage. During the late 1930s, he is presumed to have studied landscape painting with </w:t>
                </w:r>
                <w:proofErr w:type="spellStart"/>
                <w:r>
                  <w:t>Wahdi</w:t>
                </w:r>
                <w:proofErr w:type="spellEnd"/>
                <w:r>
                  <w:t xml:space="preserve"> and modern art with </w:t>
                </w:r>
                <w:proofErr w:type="spellStart"/>
                <w:r>
                  <w:t>Giorgi</w:t>
                </w:r>
                <w:proofErr w:type="spellEnd"/>
                <w:r>
                  <w:t xml:space="preserve"> </w:t>
                </w:r>
                <w:proofErr w:type="spellStart"/>
                <w:r>
                  <w:t>Giseken</w:t>
                </w:r>
                <w:proofErr w:type="spellEnd"/>
                <w:r>
                  <w:t xml:space="preserve">, a Bandung industrialist. It was after meeting </w:t>
                </w:r>
                <w:proofErr w:type="spellStart"/>
                <w:r>
                  <w:t>Affandi</w:t>
                </w:r>
                <w:proofErr w:type="spellEnd"/>
                <w:r>
                  <w:t xml:space="preserve"> in 1939 that he took up painting seriously. </w:t>
                </w:r>
                <w:proofErr w:type="spellStart"/>
                <w:r>
                  <w:t>Hendra</w:t>
                </w:r>
                <w:proofErr w:type="spellEnd"/>
                <w:r>
                  <w:t xml:space="preserve"> was associated with a number of artists’ organisations as well as popular culture. His career was marked by a deep interest in representing the lives of common people: villagers, farmers, folk dancers and prostitutes. Scenes of family gatherings, beach, festivals and marketplaces abound in his oeuvre. His art practice continued throughout his thirteen years spent as a political prisoner (1965-1978). In fact, it was during his prison years that he arrived at his mature style characterised by radiant, sometimes discordant colour, and sinuous figures with exaggerated and distorted limbs. Especially in his later career, </w:t>
                </w:r>
                <w:proofErr w:type="spellStart"/>
                <w:r>
                  <w:t>Hendra</w:t>
                </w:r>
                <w:proofErr w:type="spellEnd"/>
                <w:r>
                  <w:t xml:space="preserve"> created paintings approximating history paintings in </w:t>
                </w:r>
                <w:r>
                  <w:lastRenderedPageBreak/>
                  <w:t xml:space="preserve">scale, about four metres in width.  Even after his release from prison, the stigma of having been branded an enemy of the nation continued to influence his reception. To date, there has been no </w:t>
                </w:r>
                <w:r w:rsidRPr="00E076FC">
                  <w:rPr>
                    <w:i/>
                  </w:rPr>
                  <w:t xml:space="preserve">catalogue </w:t>
                </w:r>
                <w:proofErr w:type="spellStart"/>
                <w:r w:rsidRPr="00E076FC">
                  <w:rPr>
                    <w:i/>
                  </w:rPr>
                  <w:t>raisonn</w:t>
                </w:r>
                <w:r>
                  <w:rPr>
                    <w:i/>
                  </w:rPr>
                  <w:t>é</w:t>
                </w:r>
                <w:proofErr w:type="spellEnd"/>
                <w:r>
                  <w:t xml:space="preserve"> or retrospective exhibition of his work. </w:t>
                </w:r>
                <w:proofErr w:type="spellStart"/>
                <w:r>
                  <w:t>Hendra</w:t>
                </w:r>
                <w:proofErr w:type="spellEnd"/>
                <w:r>
                  <w:t xml:space="preserve"> </w:t>
                </w:r>
                <w:proofErr w:type="spellStart"/>
                <w:r>
                  <w:t>Gunawan</w:t>
                </w:r>
                <w:proofErr w:type="spellEnd"/>
                <w:r>
                  <w:t xml:space="preserve"> died five years after his release from prison.</w:t>
                </w:r>
              </w:p>
              <w:p w14:paraId="56718B94" w14:textId="77777777" w:rsidR="006270F7" w:rsidRDefault="006270F7" w:rsidP="006270F7"/>
              <w:p w14:paraId="5D0494FD" w14:textId="77777777" w:rsidR="006270F7" w:rsidRDefault="006270F7" w:rsidP="006270F7">
                <w:r>
                  <w:t xml:space="preserve">Female figures are prominent in many of </w:t>
                </w:r>
                <w:proofErr w:type="spellStart"/>
                <w:r>
                  <w:t>Hendra</w:t>
                </w:r>
                <w:proofErr w:type="spellEnd"/>
                <w:r>
                  <w:t xml:space="preserve"> </w:t>
                </w:r>
                <w:proofErr w:type="spellStart"/>
                <w:r>
                  <w:t>Gunawan’s</w:t>
                </w:r>
                <w:proofErr w:type="spellEnd"/>
                <w:r>
                  <w:t xml:space="preserve"> paintings. Their long-limbed bodies with expressive hand gestures and colourful garments are represented with underlying (and sometimes blatant) sensuality. Especially in the case of figures seen in profile, the faces are exaggerated to resemble the features of shadow puppets. The overall compositions are characterised by flowing curves, with an </w:t>
                </w:r>
                <w:proofErr w:type="spellStart"/>
                <w:r>
                  <w:t>ongoing</w:t>
                </w:r>
                <w:proofErr w:type="spellEnd"/>
                <w:r>
                  <w:t xml:space="preserve"> dialogue between parts with strongly drawn outlines and others where colour is used as the primary modelling device.</w:t>
                </w:r>
              </w:p>
              <w:p w14:paraId="13D4A127" w14:textId="77777777" w:rsidR="003F0D73" w:rsidRDefault="006270F7" w:rsidP="00C27FAB">
                <w:r>
                  <w:t xml:space="preserve">A strong sense of nationalism led </w:t>
                </w:r>
                <w:proofErr w:type="spellStart"/>
                <w:r>
                  <w:t>Hendra</w:t>
                </w:r>
                <w:proofErr w:type="spellEnd"/>
                <w:r>
                  <w:t xml:space="preserve"> to become a guerrilla fighter during the revolution (1945-49), while also painting anti-Dutch posters. He was a member of </w:t>
                </w:r>
                <w:proofErr w:type="spellStart"/>
                <w:r>
                  <w:t>Seniman</w:t>
                </w:r>
                <w:proofErr w:type="spellEnd"/>
                <w:r>
                  <w:t xml:space="preserve"> Indonesia </w:t>
                </w:r>
                <w:proofErr w:type="spellStart"/>
                <w:r>
                  <w:t>Muda</w:t>
                </w:r>
                <w:proofErr w:type="spellEnd"/>
                <w:r>
                  <w:t xml:space="preserve"> (Young Indonesian Painters), and joined </w:t>
                </w:r>
                <w:proofErr w:type="spellStart"/>
                <w:r>
                  <w:t>Pelukis</w:t>
                </w:r>
                <w:proofErr w:type="spellEnd"/>
                <w:r>
                  <w:t xml:space="preserve"> Rakyat (Peoples’ Painters) in 1947. Under his leadership, </w:t>
                </w:r>
                <w:proofErr w:type="spellStart"/>
                <w:r>
                  <w:t>Pelukis</w:t>
                </w:r>
                <w:proofErr w:type="spellEnd"/>
                <w:r>
                  <w:t xml:space="preserve"> Rakyat executed public art projects and produced several documentary paintings of the revolution. </w:t>
                </w:r>
                <w:proofErr w:type="spellStart"/>
                <w:r>
                  <w:t>Hendra’s</w:t>
                </w:r>
                <w:proofErr w:type="spellEnd"/>
                <w:r>
                  <w:t xml:space="preserve"> work from this period is primarily realist in style, and characterised by dark tones with flashes of red denoting the violent events of the struggle for independence. </w:t>
                </w:r>
                <w:proofErr w:type="spellStart"/>
                <w:r>
                  <w:t>Hendra</w:t>
                </w:r>
                <w:proofErr w:type="spellEnd"/>
                <w:r>
                  <w:t xml:space="preserve"> taught at the newly founded </w:t>
                </w:r>
                <w:proofErr w:type="spellStart"/>
                <w:r>
                  <w:t>Akademi</w:t>
                </w:r>
                <w:proofErr w:type="spellEnd"/>
                <w:r>
                  <w:t xml:space="preserve"> </w:t>
                </w:r>
                <w:proofErr w:type="spellStart"/>
                <w:r>
                  <w:t>Seni</w:t>
                </w:r>
                <w:proofErr w:type="spellEnd"/>
                <w:r>
                  <w:t xml:space="preserve"> </w:t>
                </w:r>
                <w:proofErr w:type="spellStart"/>
                <w:r>
                  <w:t>Rupa</w:t>
                </w:r>
                <w:proofErr w:type="spellEnd"/>
                <w:r>
                  <w:t xml:space="preserve"> </w:t>
                </w:r>
                <w:proofErr w:type="spellStart"/>
                <w:r>
                  <w:t>Indoneisa</w:t>
                </w:r>
                <w:proofErr w:type="spellEnd"/>
                <w:r>
                  <w:t xml:space="preserve"> (Indonesian Academy of Fine Art), Yogyakarta from 1950 to 1957. His international travels during the early 1950s were all to socialist states, including East Germany, Romania, the USSR and China. His association with leftist cultural groups saw his nomination as a non-party member of the Constituent Assembly of LEKRA (</w:t>
                </w:r>
                <w:proofErr w:type="spellStart"/>
                <w:r>
                  <w:t>Lembaga</w:t>
                </w:r>
                <w:proofErr w:type="spellEnd"/>
                <w:r>
                  <w:t xml:space="preserve"> </w:t>
                </w:r>
                <w:proofErr w:type="spellStart"/>
                <w:r>
                  <w:t>Kebudayaan</w:t>
                </w:r>
                <w:proofErr w:type="spellEnd"/>
                <w:r>
                  <w:t xml:space="preserve"> Rakyat, Institute for Peoples’ Culture), affiliated with the </w:t>
                </w:r>
                <w:proofErr w:type="spellStart"/>
                <w:r>
                  <w:t>Partai</w:t>
                </w:r>
                <w:proofErr w:type="spellEnd"/>
                <w:r>
                  <w:t xml:space="preserve"> </w:t>
                </w:r>
                <w:proofErr w:type="spellStart"/>
                <w:r>
                  <w:t>Komunis</w:t>
                </w:r>
                <w:proofErr w:type="spellEnd"/>
                <w:r>
                  <w:t xml:space="preserve"> Indonesia (Indonesian Communist Party). In the aftermath of the overthrow of the Suharto government and associated purges against communists of communist sympathisers, </w:t>
                </w:r>
                <w:proofErr w:type="spellStart"/>
                <w:r>
                  <w:t>Hendra</w:t>
                </w:r>
                <w:proofErr w:type="spellEnd"/>
                <w:r>
                  <w:t xml:space="preserve"> was imprisoned without trial in Bandung from 1965 to 1978. </w:t>
                </w:r>
              </w:p>
            </w:tc>
          </w:sdtContent>
        </w:sdt>
      </w:tr>
      <w:tr w:rsidR="003235A7" w14:paraId="0549ED0B" w14:textId="77777777" w:rsidTr="003235A7">
        <w:tc>
          <w:tcPr>
            <w:tcW w:w="9016" w:type="dxa"/>
          </w:tcPr>
          <w:p w14:paraId="5F6A1B8F" w14:textId="77777777" w:rsidR="003235A7" w:rsidRDefault="003235A7" w:rsidP="008A5B87">
            <w:r w:rsidRPr="0015114C">
              <w:rPr>
                <w:u w:val="single"/>
              </w:rPr>
              <w:lastRenderedPageBreak/>
              <w:t>Further reading</w:t>
            </w:r>
            <w:r>
              <w:t>:</w:t>
            </w:r>
          </w:p>
          <w:p w14:paraId="04B01718" w14:textId="77777777" w:rsidR="006270F7" w:rsidRDefault="006270F7" w:rsidP="006270F7">
            <w:pPr>
              <w:shd w:val="clear" w:color="auto" w:fill="FFFFFF"/>
              <w:rPr>
                <w:rFonts w:eastAsia="Times New Roman"/>
                <w:color w:val="000000"/>
              </w:rPr>
            </w:pPr>
            <w:sdt>
              <w:sdtPr>
                <w:rPr>
                  <w:rFonts w:eastAsia="Times New Roman"/>
                  <w:color w:val="000000"/>
                </w:rPr>
                <w:id w:val="1293940153"/>
                <w:citation/>
              </w:sdtPr>
              <w:sdtContent>
                <w:r>
                  <w:rPr>
                    <w:rFonts w:eastAsia="Times New Roman"/>
                    <w:color w:val="000000"/>
                  </w:rPr>
                  <w:fldChar w:fldCharType="begin"/>
                </w:r>
                <w:r>
                  <w:rPr>
                    <w:rFonts w:eastAsia="Times New Roman"/>
                    <w:color w:val="000000"/>
                    <w:lang w:val="en-US"/>
                  </w:rPr>
                  <w:instrText xml:space="preserve"> CITATION Bur12 \l 1033 </w:instrText>
                </w:r>
                <w:r>
                  <w:rPr>
                    <w:rFonts w:eastAsia="Times New Roman"/>
                    <w:color w:val="000000"/>
                  </w:rPr>
                  <w:fldChar w:fldCharType="separate"/>
                </w:r>
                <w:r w:rsidRPr="006270F7">
                  <w:rPr>
                    <w:rFonts w:eastAsia="Times New Roman"/>
                    <w:noProof/>
                    <w:color w:val="000000"/>
                    <w:lang w:val="en-US"/>
                  </w:rPr>
                  <w:t>(Burhan)</w:t>
                </w:r>
                <w:r>
                  <w:rPr>
                    <w:rFonts w:eastAsia="Times New Roman"/>
                    <w:color w:val="000000"/>
                  </w:rPr>
                  <w:fldChar w:fldCharType="end"/>
                </w:r>
              </w:sdtContent>
            </w:sdt>
          </w:p>
          <w:p w14:paraId="72729489" w14:textId="77777777" w:rsidR="006270F7" w:rsidRDefault="006270F7" w:rsidP="008A5B87"/>
          <w:sdt>
            <w:sdtPr>
              <w:alias w:val="Further reading"/>
              <w:tag w:val="furtherReading"/>
              <w:id w:val="-1516217107"/>
              <w:placeholder>
                <w:docPart w:val="39E333CB3101DD429BE6DE529AC8CD81"/>
              </w:placeholder>
            </w:sdtPr>
            <w:sdtEndPr/>
            <w:sdtContent>
              <w:p w14:paraId="30B93B0A" w14:textId="77777777" w:rsidR="006270F7" w:rsidRDefault="006270F7" w:rsidP="006270F7">
                <w:sdt>
                  <w:sdtPr>
                    <w:id w:val="-1415854352"/>
                    <w:citation/>
                  </w:sdtPr>
                  <w:sdtContent>
                    <w:r>
                      <w:fldChar w:fldCharType="begin"/>
                    </w:r>
                    <w:r>
                      <w:rPr>
                        <w:lang w:val="en-US"/>
                      </w:rPr>
                      <w:instrText xml:space="preserve"> CITATION Oei12 \l 1033 </w:instrText>
                    </w:r>
                    <w:r>
                      <w:fldChar w:fldCharType="separate"/>
                    </w:r>
                    <w:r>
                      <w:rPr>
                        <w:noProof/>
                        <w:lang w:val="en-US"/>
                      </w:rPr>
                      <w:t xml:space="preserve"> (Djien)</w:t>
                    </w:r>
                    <w:r>
                      <w:fldChar w:fldCharType="end"/>
                    </w:r>
                  </w:sdtContent>
                </w:sdt>
              </w:p>
              <w:p w14:paraId="4D1ABE6E" w14:textId="77777777" w:rsidR="006270F7" w:rsidRPr="006270F7" w:rsidRDefault="006270F7" w:rsidP="006270F7"/>
              <w:p w14:paraId="16086CF6" w14:textId="77777777" w:rsidR="006270F7" w:rsidRDefault="006270F7" w:rsidP="006270F7">
                <w:pPr>
                  <w:shd w:val="clear" w:color="auto" w:fill="FFFFFF"/>
                  <w:rPr>
                    <w:rFonts w:eastAsia="Times New Roman"/>
                    <w:color w:val="000000"/>
                  </w:rPr>
                </w:pPr>
                <w:sdt>
                  <w:sdtPr>
                    <w:rPr>
                      <w:rFonts w:eastAsia="Times New Roman"/>
                      <w:color w:val="000000"/>
                    </w:rPr>
                    <w:id w:val="1836724539"/>
                    <w:citation/>
                  </w:sdtPr>
                  <w:sdtContent>
                    <w:r>
                      <w:rPr>
                        <w:rFonts w:eastAsia="Times New Roman"/>
                        <w:color w:val="000000"/>
                      </w:rPr>
                      <w:fldChar w:fldCharType="begin"/>
                    </w:r>
                    <w:r>
                      <w:rPr>
                        <w:rFonts w:eastAsia="Times New Roman"/>
                        <w:color w:val="000000"/>
                        <w:lang w:val="en-US"/>
                      </w:rPr>
                      <w:instrText xml:space="preserve"> CITATION Fis90 \l 1033 </w:instrText>
                    </w:r>
                    <w:r>
                      <w:rPr>
                        <w:rFonts w:eastAsia="Times New Roman"/>
                        <w:color w:val="000000"/>
                      </w:rPr>
                      <w:fldChar w:fldCharType="separate"/>
                    </w:r>
                    <w:r w:rsidRPr="006270F7">
                      <w:rPr>
                        <w:rFonts w:eastAsia="Times New Roman"/>
                        <w:noProof/>
                        <w:color w:val="000000"/>
                        <w:lang w:val="en-US"/>
                      </w:rPr>
                      <w:t>(Fischer)</w:t>
                    </w:r>
                    <w:r>
                      <w:rPr>
                        <w:rFonts w:eastAsia="Times New Roman"/>
                        <w:color w:val="000000"/>
                      </w:rPr>
                      <w:fldChar w:fldCharType="end"/>
                    </w:r>
                  </w:sdtContent>
                </w:sdt>
              </w:p>
              <w:p w14:paraId="5C48DB87" w14:textId="77777777" w:rsidR="006270F7" w:rsidRPr="006270F7" w:rsidRDefault="006270F7" w:rsidP="006270F7">
                <w:pPr>
                  <w:shd w:val="clear" w:color="auto" w:fill="FFFFFF"/>
                  <w:rPr>
                    <w:rFonts w:eastAsia="Times New Roman"/>
                    <w:color w:val="000000"/>
                  </w:rPr>
                </w:pPr>
              </w:p>
              <w:p w14:paraId="721AB2CA" w14:textId="77777777" w:rsidR="003235A7" w:rsidRDefault="006270F7" w:rsidP="00FB11DE">
                <w:sdt>
                  <w:sdtPr>
                    <w:id w:val="-610047997"/>
                    <w:citation/>
                  </w:sdtPr>
                  <w:sdtContent>
                    <w:r>
                      <w:fldChar w:fldCharType="begin"/>
                    </w:r>
                    <w:r>
                      <w:rPr>
                        <w:rFonts w:eastAsia="Times New Roman"/>
                        <w:color w:val="000000"/>
                        <w:lang w:val="en-US"/>
                      </w:rPr>
                      <w:instrText xml:space="preserve"> CITATION Spa04 \l 1033 </w:instrText>
                    </w:r>
                    <w:r>
                      <w:fldChar w:fldCharType="separate"/>
                    </w:r>
                    <w:r w:rsidRPr="006270F7">
                      <w:rPr>
                        <w:rFonts w:eastAsia="Times New Roman"/>
                        <w:noProof/>
                        <w:color w:val="000000"/>
                        <w:lang w:val="en-US"/>
                      </w:rPr>
                      <w:t>(Spanjaard)</w:t>
                    </w:r>
                    <w:r>
                      <w:fldChar w:fldCharType="end"/>
                    </w:r>
                  </w:sdtContent>
                </w:sdt>
              </w:p>
            </w:sdtContent>
          </w:sdt>
        </w:tc>
      </w:tr>
    </w:tbl>
    <w:p w14:paraId="001763A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753A7" w14:textId="77777777" w:rsidR="006270F7" w:rsidRDefault="006270F7" w:rsidP="007A0D55">
      <w:pPr>
        <w:spacing w:after="0" w:line="240" w:lineRule="auto"/>
      </w:pPr>
      <w:r>
        <w:separator/>
      </w:r>
    </w:p>
  </w:endnote>
  <w:endnote w:type="continuationSeparator" w:id="0">
    <w:p w14:paraId="5DE946B6" w14:textId="77777777" w:rsidR="006270F7" w:rsidRDefault="006270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6373D" w14:textId="77777777" w:rsidR="006270F7" w:rsidRDefault="006270F7" w:rsidP="007A0D55">
      <w:pPr>
        <w:spacing w:after="0" w:line="240" w:lineRule="auto"/>
      </w:pPr>
      <w:r>
        <w:separator/>
      </w:r>
    </w:p>
  </w:footnote>
  <w:footnote w:type="continuationSeparator" w:id="0">
    <w:p w14:paraId="20C60574" w14:textId="77777777" w:rsidR="006270F7" w:rsidRDefault="006270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C87B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30324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F7"/>
    <w:rsid w:val="00032559"/>
    <w:rsid w:val="00032B0D"/>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0CD"/>
    <w:rsid w:val="00483379"/>
    <w:rsid w:val="00487BC5"/>
    <w:rsid w:val="00496888"/>
    <w:rsid w:val="004A7476"/>
    <w:rsid w:val="004E5896"/>
    <w:rsid w:val="00513EE6"/>
    <w:rsid w:val="00534F8F"/>
    <w:rsid w:val="00590035"/>
    <w:rsid w:val="005B177E"/>
    <w:rsid w:val="005B3921"/>
    <w:rsid w:val="005F26D7"/>
    <w:rsid w:val="005F5450"/>
    <w:rsid w:val="006270F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B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70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0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70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0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976BE033EBDF4F8ACBD7AF6F8CD65B"/>
        <w:category>
          <w:name w:val="General"/>
          <w:gallery w:val="placeholder"/>
        </w:category>
        <w:types>
          <w:type w:val="bbPlcHdr"/>
        </w:types>
        <w:behaviors>
          <w:behavior w:val="content"/>
        </w:behaviors>
        <w:guid w:val="{3CAD5B0D-E85E-4847-8F71-3D734976D751}"/>
      </w:docPartPr>
      <w:docPartBody>
        <w:p w:rsidR="00000000" w:rsidRDefault="004E117A">
          <w:pPr>
            <w:pStyle w:val="D1976BE033EBDF4F8ACBD7AF6F8CD65B"/>
          </w:pPr>
          <w:r w:rsidRPr="00CC586D">
            <w:rPr>
              <w:rStyle w:val="PlaceholderText"/>
              <w:b/>
              <w:color w:val="FFFFFF" w:themeColor="background1"/>
            </w:rPr>
            <w:t>[Salutation]</w:t>
          </w:r>
        </w:p>
      </w:docPartBody>
    </w:docPart>
    <w:docPart>
      <w:docPartPr>
        <w:name w:val="44F6C9242224B94E96574E1376F39CFB"/>
        <w:category>
          <w:name w:val="General"/>
          <w:gallery w:val="placeholder"/>
        </w:category>
        <w:types>
          <w:type w:val="bbPlcHdr"/>
        </w:types>
        <w:behaviors>
          <w:behavior w:val="content"/>
        </w:behaviors>
        <w:guid w:val="{65DF2EF5-A54E-8847-9BC2-24C2D4C4A4E4}"/>
      </w:docPartPr>
      <w:docPartBody>
        <w:p w:rsidR="00000000" w:rsidRDefault="004E117A">
          <w:pPr>
            <w:pStyle w:val="44F6C9242224B94E96574E1376F39CFB"/>
          </w:pPr>
          <w:r>
            <w:rPr>
              <w:rStyle w:val="PlaceholderText"/>
            </w:rPr>
            <w:t>[First name]</w:t>
          </w:r>
        </w:p>
      </w:docPartBody>
    </w:docPart>
    <w:docPart>
      <w:docPartPr>
        <w:name w:val="533276333439ED45B2898F7B375EFABD"/>
        <w:category>
          <w:name w:val="General"/>
          <w:gallery w:val="placeholder"/>
        </w:category>
        <w:types>
          <w:type w:val="bbPlcHdr"/>
        </w:types>
        <w:behaviors>
          <w:behavior w:val="content"/>
        </w:behaviors>
        <w:guid w:val="{029AF709-07F8-5547-A2C8-AEF95661D86E}"/>
      </w:docPartPr>
      <w:docPartBody>
        <w:p w:rsidR="00000000" w:rsidRDefault="004E117A">
          <w:pPr>
            <w:pStyle w:val="533276333439ED45B2898F7B375EFABD"/>
          </w:pPr>
          <w:r>
            <w:rPr>
              <w:rStyle w:val="PlaceholderText"/>
            </w:rPr>
            <w:t>[Middle name]</w:t>
          </w:r>
        </w:p>
      </w:docPartBody>
    </w:docPart>
    <w:docPart>
      <w:docPartPr>
        <w:name w:val="9BF133E33BCE35478CF4E4210A9BCE3D"/>
        <w:category>
          <w:name w:val="General"/>
          <w:gallery w:val="placeholder"/>
        </w:category>
        <w:types>
          <w:type w:val="bbPlcHdr"/>
        </w:types>
        <w:behaviors>
          <w:behavior w:val="content"/>
        </w:behaviors>
        <w:guid w:val="{675281AB-2E9C-C44F-A6B3-821860F87BF0}"/>
      </w:docPartPr>
      <w:docPartBody>
        <w:p w:rsidR="00000000" w:rsidRDefault="004E117A">
          <w:pPr>
            <w:pStyle w:val="9BF133E33BCE35478CF4E4210A9BCE3D"/>
          </w:pPr>
          <w:r>
            <w:rPr>
              <w:rStyle w:val="PlaceholderText"/>
            </w:rPr>
            <w:t>[Last name]</w:t>
          </w:r>
        </w:p>
      </w:docPartBody>
    </w:docPart>
    <w:docPart>
      <w:docPartPr>
        <w:name w:val="8B44504040DF7C4B8B622282284297E7"/>
        <w:category>
          <w:name w:val="General"/>
          <w:gallery w:val="placeholder"/>
        </w:category>
        <w:types>
          <w:type w:val="bbPlcHdr"/>
        </w:types>
        <w:behaviors>
          <w:behavior w:val="content"/>
        </w:behaviors>
        <w:guid w:val="{D0D88BC1-8E62-BF42-824C-3EDF8EE5E8A7}"/>
      </w:docPartPr>
      <w:docPartBody>
        <w:p w:rsidR="00000000" w:rsidRDefault="004E117A">
          <w:pPr>
            <w:pStyle w:val="8B44504040DF7C4B8B622282284297E7"/>
          </w:pPr>
          <w:r>
            <w:rPr>
              <w:rStyle w:val="PlaceholderText"/>
            </w:rPr>
            <w:t>[Enter your biography]</w:t>
          </w:r>
        </w:p>
      </w:docPartBody>
    </w:docPart>
    <w:docPart>
      <w:docPartPr>
        <w:name w:val="C421C3D3C7CDB140978566D78BD01843"/>
        <w:category>
          <w:name w:val="General"/>
          <w:gallery w:val="placeholder"/>
        </w:category>
        <w:types>
          <w:type w:val="bbPlcHdr"/>
        </w:types>
        <w:behaviors>
          <w:behavior w:val="content"/>
        </w:behaviors>
        <w:guid w:val="{C12D1DA6-6CEA-A64B-A346-C50C9D382ECD}"/>
      </w:docPartPr>
      <w:docPartBody>
        <w:p w:rsidR="00000000" w:rsidRDefault="004E117A">
          <w:pPr>
            <w:pStyle w:val="C421C3D3C7CDB140978566D78BD01843"/>
          </w:pPr>
          <w:r>
            <w:rPr>
              <w:rStyle w:val="PlaceholderText"/>
            </w:rPr>
            <w:t>[Enter the institution with which you are affiliated]</w:t>
          </w:r>
        </w:p>
      </w:docPartBody>
    </w:docPart>
    <w:docPart>
      <w:docPartPr>
        <w:name w:val="A91A0E89841A924DAC5323CA0D9B8764"/>
        <w:category>
          <w:name w:val="General"/>
          <w:gallery w:val="placeholder"/>
        </w:category>
        <w:types>
          <w:type w:val="bbPlcHdr"/>
        </w:types>
        <w:behaviors>
          <w:behavior w:val="content"/>
        </w:behaviors>
        <w:guid w:val="{CE98152F-CBB5-3342-A6AF-21324C8825B0}"/>
      </w:docPartPr>
      <w:docPartBody>
        <w:p w:rsidR="00000000" w:rsidRDefault="004E117A">
          <w:pPr>
            <w:pStyle w:val="A91A0E89841A924DAC5323CA0D9B8764"/>
          </w:pPr>
          <w:r w:rsidRPr="00EF74F7">
            <w:rPr>
              <w:b/>
              <w:color w:val="808080" w:themeColor="background1" w:themeShade="80"/>
            </w:rPr>
            <w:t>[Enter the headword for your article]</w:t>
          </w:r>
        </w:p>
      </w:docPartBody>
    </w:docPart>
    <w:docPart>
      <w:docPartPr>
        <w:name w:val="E33085E9FD971A4F8DECF940C398A000"/>
        <w:category>
          <w:name w:val="General"/>
          <w:gallery w:val="placeholder"/>
        </w:category>
        <w:types>
          <w:type w:val="bbPlcHdr"/>
        </w:types>
        <w:behaviors>
          <w:behavior w:val="content"/>
        </w:behaviors>
        <w:guid w:val="{2FA3EBDE-EF4F-8C45-A576-6DBB07EBB40D}"/>
      </w:docPartPr>
      <w:docPartBody>
        <w:p w:rsidR="00000000" w:rsidRDefault="004E117A">
          <w:pPr>
            <w:pStyle w:val="E33085E9FD971A4F8DECF940C398A0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C3C33347B468419AF2F9F0DAC89B73"/>
        <w:category>
          <w:name w:val="General"/>
          <w:gallery w:val="placeholder"/>
        </w:category>
        <w:types>
          <w:type w:val="bbPlcHdr"/>
        </w:types>
        <w:behaviors>
          <w:behavior w:val="content"/>
        </w:behaviors>
        <w:guid w:val="{5CAA52B3-1B15-184B-B1EA-8EB184069107}"/>
      </w:docPartPr>
      <w:docPartBody>
        <w:p w:rsidR="00000000" w:rsidRDefault="004E117A">
          <w:pPr>
            <w:pStyle w:val="2AC3C33347B468419AF2F9F0DAC89B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DECF9FEC3EA34A8647734B50A0BF6B"/>
        <w:category>
          <w:name w:val="General"/>
          <w:gallery w:val="placeholder"/>
        </w:category>
        <w:types>
          <w:type w:val="bbPlcHdr"/>
        </w:types>
        <w:behaviors>
          <w:behavior w:val="content"/>
        </w:behaviors>
        <w:guid w:val="{D779968A-1687-A14D-B6FD-4FA528C6E888}"/>
      </w:docPartPr>
      <w:docPartBody>
        <w:p w:rsidR="00000000" w:rsidRDefault="004E117A">
          <w:pPr>
            <w:pStyle w:val="76DECF9FEC3EA34A8647734B50A0BF6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976BE033EBDF4F8ACBD7AF6F8CD65B">
    <w:name w:val="D1976BE033EBDF4F8ACBD7AF6F8CD65B"/>
  </w:style>
  <w:style w:type="paragraph" w:customStyle="1" w:styleId="44F6C9242224B94E96574E1376F39CFB">
    <w:name w:val="44F6C9242224B94E96574E1376F39CFB"/>
  </w:style>
  <w:style w:type="paragraph" w:customStyle="1" w:styleId="533276333439ED45B2898F7B375EFABD">
    <w:name w:val="533276333439ED45B2898F7B375EFABD"/>
  </w:style>
  <w:style w:type="paragraph" w:customStyle="1" w:styleId="9BF133E33BCE35478CF4E4210A9BCE3D">
    <w:name w:val="9BF133E33BCE35478CF4E4210A9BCE3D"/>
  </w:style>
  <w:style w:type="paragraph" w:customStyle="1" w:styleId="8B44504040DF7C4B8B622282284297E7">
    <w:name w:val="8B44504040DF7C4B8B622282284297E7"/>
  </w:style>
  <w:style w:type="paragraph" w:customStyle="1" w:styleId="C421C3D3C7CDB140978566D78BD01843">
    <w:name w:val="C421C3D3C7CDB140978566D78BD01843"/>
  </w:style>
  <w:style w:type="paragraph" w:customStyle="1" w:styleId="A91A0E89841A924DAC5323CA0D9B8764">
    <w:name w:val="A91A0E89841A924DAC5323CA0D9B8764"/>
  </w:style>
  <w:style w:type="paragraph" w:customStyle="1" w:styleId="E33085E9FD971A4F8DECF940C398A000">
    <w:name w:val="E33085E9FD971A4F8DECF940C398A000"/>
  </w:style>
  <w:style w:type="paragraph" w:customStyle="1" w:styleId="2AC3C33347B468419AF2F9F0DAC89B73">
    <w:name w:val="2AC3C33347B468419AF2F9F0DAC89B73"/>
  </w:style>
  <w:style w:type="paragraph" w:customStyle="1" w:styleId="76DECF9FEC3EA34A8647734B50A0BF6B">
    <w:name w:val="76DECF9FEC3EA34A8647734B50A0BF6B"/>
  </w:style>
  <w:style w:type="paragraph" w:customStyle="1" w:styleId="39E333CB3101DD429BE6DE529AC8CD81">
    <w:name w:val="39E333CB3101DD429BE6DE529AC8CD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976BE033EBDF4F8ACBD7AF6F8CD65B">
    <w:name w:val="D1976BE033EBDF4F8ACBD7AF6F8CD65B"/>
  </w:style>
  <w:style w:type="paragraph" w:customStyle="1" w:styleId="44F6C9242224B94E96574E1376F39CFB">
    <w:name w:val="44F6C9242224B94E96574E1376F39CFB"/>
  </w:style>
  <w:style w:type="paragraph" w:customStyle="1" w:styleId="533276333439ED45B2898F7B375EFABD">
    <w:name w:val="533276333439ED45B2898F7B375EFABD"/>
  </w:style>
  <w:style w:type="paragraph" w:customStyle="1" w:styleId="9BF133E33BCE35478CF4E4210A9BCE3D">
    <w:name w:val="9BF133E33BCE35478CF4E4210A9BCE3D"/>
  </w:style>
  <w:style w:type="paragraph" w:customStyle="1" w:styleId="8B44504040DF7C4B8B622282284297E7">
    <w:name w:val="8B44504040DF7C4B8B622282284297E7"/>
  </w:style>
  <w:style w:type="paragraph" w:customStyle="1" w:styleId="C421C3D3C7CDB140978566D78BD01843">
    <w:name w:val="C421C3D3C7CDB140978566D78BD01843"/>
  </w:style>
  <w:style w:type="paragraph" w:customStyle="1" w:styleId="A91A0E89841A924DAC5323CA0D9B8764">
    <w:name w:val="A91A0E89841A924DAC5323CA0D9B8764"/>
  </w:style>
  <w:style w:type="paragraph" w:customStyle="1" w:styleId="E33085E9FD971A4F8DECF940C398A000">
    <w:name w:val="E33085E9FD971A4F8DECF940C398A000"/>
  </w:style>
  <w:style w:type="paragraph" w:customStyle="1" w:styleId="2AC3C33347B468419AF2F9F0DAC89B73">
    <w:name w:val="2AC3C33347B468419AF2F9F0DAC89B73"/>
  </w:style>
  <w:style w:type="paragraph" w:customStyle="1" w:styleId="76DECF9FEC3EA34A8647734B50A0BF6B">
    <w:name w:val="76DECF9FEC3EA34A8647734B50A0BF6B"/>
  </w:style>
  <w:style w:type="paragraph" w:customStyle="1" w:styleId="39E333CB3101DD429BE6DE529AC8CD81">
    <w:name w:val="39E333CB3101DD429BE6DE529AC8C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Oei12</b:Tag>
    <b:SourceType>Book</b:SourceType>
    <b:Guid>{886CF4AC-5840-DD4B-9B25-D4E1CEC385F3}</b:Guid>
    <b:Author>
      <b:Author>
        <b:NameList>
          <b:Person>
            <b:Last>Djien</b:Last>
            <b:First>Oei</b:First>
            <b:Middle>Hong</b:Middle>
          </b:Person>
        </b:NameList>
      </b:Author>
    </b:Author>
    <b:Title>The Five Maestros of Modern Indonesian Art: Affandi, S. Sudjojono, Hendra Gunawan, H. Widayat, Soedibio</b:Title>
    <b:City>Magelang</b:City>
    <b:Publisher>OHD Museum</b:Publisher>
    <b:Year>2012</b:Year>
    <b:RefOrder>2</b:RefOrder>
  </b:Source>
  <b:Source>
    <b:Tag>Fis90</b:Tag>
    <b:SourceType>Book</b:SourceType>
    <b:Guid>{7EC2C6C8-E004-D647-9E7F-35C69600CA1F}</b:Guid>
    <b:Title>Modern Indonesian Art:Three Generations of Tradition and Change 1945-1990</b:Title>
    <b:City>Jakarta and New York</b:City>
    <b:Publisher>Panitia Pameran KIAS and Festival of Indonesia</b:Publisher>
    <b:Year>1990</b:Year>
    <b:Author>
      <b:Editor>
        <b:NameList>
          <b:Person>
            <b:Last>Fischer</b:Last>
            <b:First>Joseph</b:First>
          </b:Person>
        </b:NameList>
      </b:Editor>
    </b:Author>
    <b:RefOrder>3</b:RefOrder>
  </b:Source>
  <b:Source>
    <b:Tag>Bur12</b:Tag>
    <b:SourceType>Book</b:SourceType>
    <b:Guid>{E6375B5C-6FDC-4F43-8E5F-7A33A683B028}</b:Guid>
    <b:Author>
      <b:Author>
        <b:NameList>
          <b:Person>
            <b:Last>Burhan</b:Last>
            <b:First>M.</b:First>
            <b:Middle>Agus</b:Middle>
          </b:Person>
        </b:NameList>
      </b:Author>
    </b:Author>
    <b:Title>Masterpieces of the Indonesia National Gallery</b:Title>
    <b:City>Jakarta:</b:City>
    <b:Publisher>Indonesia National Gallery</b:Publisher>
    <b:Year>2012</b:Year>
    <b:RefOrder>1</b:RefOrder>
  </b:Source>
  <b:Source>
    <b:Tag>Spa04</b:Tag>
    <b:SourceType>Book</b:SourceType>
    <b:Guid>{4A572712-5C1B-964D-B89F-D6D326255D56}</b:Guid>
    <b:Author>
      <b:Author>
        <b:NameList>
          <b:Person>
            <b:Last>Spanjaard</b:Last>
            <b:First>Helena</b:First>
          </b:Person>
        </b:NameList>
      </b:Author>
    </b:Author>
    <b:Title>Exploring Modern Indonesian Art: the collection of Dr Oei Hong Djien</b:Title>
    <b:CountryRegion>Singapore</b:CountryRegion>
    <b:Publisher>SNP Editions</b:Publisher>
    <b:Year>2004</b:Year>
    <b:RefOrder>4</b:RefOrder>
  </b:Source>
</b:Sources>
</file>

<file path=customXml/itemProps1.xml><?xml version="1.0" encoding="utf-8"?>
<ds:datastoreItem xmlns:ds="http://schemas.openxmlformats.org/officeDocument/2006/customXml" ds:itemID="{777C67A8-C43B-D64E-9692-3A49B298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887</Words>
  <Characters>4725</Characters>
  <Application>Microsoft Macintosh Word</Application>
  <DocSecurity>0</DocSecurity>
  <Lines>121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2015-03-28T20:03:00Z</dcterms:created>
  <dcterms:modified xsi:type="dcterms:W3CDTF">2015-03-28T20:20:00Z</dcterms:modified>
</cp:coreProperties>
</file>