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F5608A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DB6C41C5347F349AA40C530859909C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BBDF725EB2D4442AF17875187F70E45"/>
            </w:placeholder>
            <w:text/>
          </w:sdtPr>
          <w:sdtContent>
            <w:tc>
              <w:tcPr>
                <w:tcW w:w="2073" w:type="dxa"/>
              </w:tcPr>
              <w:p w:rsidR="00B574C9" w:rsidRDefault="00F5608A" w:rsidP="00F5608A">
                <w:r>
                  <w:t>Alex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D624A3C5B39C41A77421F2274F54A2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CCCB485027DFE4BB20788897B1C8173"/>
            </w:placeholder>
            <w:text/>
          </w:sdtPr>
          <w:sdtContent>
            <w:tc>
              <w:tcPr>
                <w:tcW w:w="2642" w:type="dxa"/>
              </w:tcPr>
              <w:p w:rsidR="00B574C9" w:rsidRDefault="00F5608A" w:rsidP="00F5608A">
                <w:proofErr w:type="spellStart"/>
                <w:r>
                  <w:t>Seggerman</w:t>
                </w:r>
                <w:proofErr w:type="spellEnd"/>
              </w:p>
            </w:tc>
          </w:sdtContent>
        </w:sdt>
      </w:tr>
      <w:tr w:rsidR="00B574C9" w:rsidTr="00F5608A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B380B17B3E4974AB095C1A71F44237D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F5608A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59FB9BBBF6EC3499B94593D9441C268"/>
            </w:placeholder>
            <w:text/>
          </w:sdtPr>
          <w:sdtContent>
            <w:tc>
              <w:tcPr>
                <w:tcW w:w="8562" w:type="dxa"/>
                <w:gridSpan w:val="4"/>
              </w:tcPr>
              <w:p w:rsidR="00B574C9" w:rsidRDefault="00F5608A" w:rsidP="00B574C9">
                <w:r w:rsidRPr="00F5608A">
                  <w:rPr>
                    <w:rFonts w:ascii="Calibri" w:hAnsi="Calibri" w:cs="Calibri"/>
                    <w:color w:val="000000"/>
                    <w:lang w:val="en-US"/>
                  </w:rPr>
                  <w:t>Hampshire College | Smith College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85C334BFCE146548A2A1981EA8E43AF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5608A" w:rsidP="00F5608A">
                <w:pPr>
                  <w:rPr>
                    <w:b/>
                  </w:rPr>
                </w:pPr>
                <w:proofErr w:type="spellStart"/>
                <w:r w:rsidRPr="00F5608A">
                  <w:t>Mokhtar</w:t>
                </w:r>
                <w:proofErr w:type="spellEnd"/>
                <w:r w:rsidRPr="00F5608A">
                  <w:t>, Mahmoud (1891-1934)</w:t>
                </w:r>
              </w:p>
            </w:tc>
          </w:sdtContent>
        </w:sdt>
      </w:tr>
      <w:tr w:rsidR="00464699" w:rsidTr="00F5608A">
        <w:sdt>
          <w:sdtPr>
            <w:alias w:val="Variant headwords"/>
            <w:tag w:val="variantHeadwords"/>
            <w:id w:val="173464402"/>
            <w:placeholder>
              <w:docPart w:val="B3367D30427E4B42B845A4AC12A4E00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0DF9F56CA392A49993019235BB688AF"/>
            </w:placeholder>
          </w:sdtPr>
          <w:sdtContent>
            <w:sdt>
              <w:sdtPr>
                <w:alias w:val="Article text"/>
                <w:tag w:val="articleText"/>
                <w:id w:val="-919560357"/>
                <w:placeholder>
                  <w:docPart w:val="71FF16FF93837D4BB42CCA37F59C03EB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F5608A" w:rsidRPr="00F5608A" w:rsidRDefault="00F5608A" w:rsidP="00F5608A">
                    <w:pPr>
                      <w:rPr>
                        <w:rFonts w:ascii="Calibri" w:hAnsi="Calibri" w:cs="Times New Roman"/>
                      </w:rPr>
                    </w:pP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Mokhtar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deftly blended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Pharaonism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with neoclassicism to create modern, nationalist sculpture. Born in 1891 in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Tanbara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, he enrolled in the first class at the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École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Égyptienne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des Beaux-Arts in 1908. After graduating top of his class in 1912,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Mokhtar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traveled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to Paris on government scholarship to join the studio of French sculptor, Jules-Felix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Coutan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at the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École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des Beaux-Arts. In response to the 1919 Revolution in Egypt, he sculpted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  <w:i/>
                      </w:rPr>
                      <w:t>Nahdat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  <w:i/>
                      </w:rPr>
                      <w:t xml:space="preserve">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  <w:i/>
                      </w:rPr>
                      <w:t>Misr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(Egypt’s Reawakening) for the Salon des Artistes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Français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in 1920. The work depicts a peasant and a sphinx, representing the magnificent history of ancient Egypt and the agricultural prowess of the Nile Valley. After many years of public fundraising, a monumental version of the sculpture was unveiled in 1928 in Bab el-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Hadid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Square, facing the Cairo railway station. </w:t>
                    </w:r>
                  </w:p>
                  <w:p w:rsidR="00F5608A" w:rsidRPr="00F5608A" w:rsidRDefault="00F5608A" w:rsidP="00F5608A">
                    <w:pPr>
                      <w:rPr>
                        <w:rFonts w:ascii="Calibri" w:hAnsi="Calibri" w:cs="Times New Roman"/>
                      </w:rPr>
                    </w:pPr>
                  </w:p>
                  <w:p w:rsidR="00F5608A" w:rsidRPr="00F5608A" w:rsidRDefault="00F5608A" w:rsidP="00F5608A">
                    <w:pPr>
                      <w:rPr>
                        <w:rFonts w:ascii="Calibri" w:hAnsi="Calibri" w:cs="Times New Roman"/>
                      </w:rPr>
                    </w:pPr>
                    <w:r w:rsidRPr="00F5608A">
                      <w:rPr>
                        <w:rFonts w:ascii="Calibri" w:hAnsi="Calibri" w:cs="Times New Roman"/>
                      </w:rPr>
                      <w:t xml:space="preserve">Because of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  <w:i/>
                      </w:rPr>
                      <w:t>Nahdat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  <w:i/>
                      </w:rPr>
                      <w:t xml:space="preserve">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  <w:i/>
                      </w:rPr>
                      <w:t>Misr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,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Mokhtar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rose to national prominence, maintaining studios in Cairo and Paris. In 1930, he exhibited bronze, marble, and stone pieces at the renowned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Bernheim-Jeune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Gallery in Paris. In these works, he blended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Pharaonic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imagery with a stylized, classicist aesthetic. The most famous,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  <w:i/>
                      </w:rPr>
                      <w:t>Khamasin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, portrays a peasant woman battling the sand storms, her cloak blown back, revealing her body. </w:t>
                    </w:r>
                  </w:p>
                  <w:p w:rsidR="00F5608A" w:rsidRPr="00F5608A" w:rsidRDefault="00F5608A" w:rsidP="00F5608A">
                    <w:pPr>
                      <w:rPr>
                        <w:rFonts w:ascii="Calibri" w:hAnsi="Calibri" w:cs="Times New Roman"/>
                      </w:rPr>
                    </w:pPr>
                  </w:p>
                  <w:p w:rsidR="00E85A05" w:rsidRDefault="00F5608A" w:rsidP="00F5608A"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Mokhtar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continues to be esteemed as Egypt’s most famous sculptor despite his early death of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leukemia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in 1934. His works,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Nahdat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</w:t>
                    </w:r>
                    <w:proofErr w:type="spellStart"/>
                    <w:r w:rsidRPr="00F5608A">
                      <w:rPr>
                        <w:rFonts w:ascii="Calibri" w:hAnsi="Calibri" w:cs="Times New Roman"/>
                      </w:rPr>
                      <w:t>Misr</w:t>
                    </w:r>
                    <w:proofErr w:type="spellEnd"/>
                    <w:r w:rsidRPr="00F5608A">
                      <w:rPr>
                        <w:rFonts w:ascii="Calibri" w:hAnsi="Calibri" w:cs="Times New Roman"/>
                      </w:rPr>
                      <w:t xml:space="preserve"> in particular, played an active role in larger history of modern Egypt.</w:t>
                    </w:r>
                    <w:r w:rsidRPr="008B6CFD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FE6F6B5A247A947BE06CA1F9DFC6EF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5608A" w:rsidRPr="00F5608A" w:rsidRDefault="00F5608A" w:rsidP="00F5608A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F5608A">
                  <w:rPr>
                    <w:rFonts w:ascii="Calibri" w:hAnsi="Calibri" w:cs="Times New Roman"/>
                  </w:rPr>
                  <w:t>Mokhtar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deftly blended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Pharaonism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with neoclassicism to create modern, nationalist sculpture. Born in 1891 in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Tanbara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, he enrolled in the first class at the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École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Égyptienne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des Beaux-Arts in 1908. After graduating top of his class in 1912,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Mokhtar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traveled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to Paris on government scholarship to join the studio of French sculptor, Jules-Felix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Coutan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at the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École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des Beaux-Arts. In response to the 1919 Revolution in Egypt, he sculpted </w:t>
                </w:r>
                <w:proofErr w:type="spellStart"/>
                <w:r w:rsidRPr="00F5608A">
                  <w:rPr>
                    <w:rFonts w:ascii="Calibri" w:hAnsi="Calibri" w:cs="Times New Roman"/>
                    <w:i/>
                  </w:rPr>
                  <w:t>Nahdat</w:t>
                </w:r>
                <w:proofErr w:type="spellEnd"/>
                <w:r w:rsidRPr="00F5608A">
                  <w:rPr>
                    <w:rFonts w:ascii="Calibri" w:hAnsi="Calibri" w:cs="Times New Roman"/>
                    <w:i/>
                  </w:rPr>
                  <w:t xml:space="preserve"> </w:t>
                </w:r>
                <w:proofErr w:type="spellStart"/>
                <w:r w:rsidRPr="00F5608A">
                  <w:rPr>
                    <w:rFonts w:ascii="Calibri" w:hAnsi="Calibri" w:cs="Times New Roman"/>
                    <w:i/>
                  </w:rPr>
                  <w:t>Misr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(Egypt’s Reawakening) for the Salon des Artistes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Français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in 1920. The work depicts a peasant and a sphinx, representing the magnificent history of ancient Egypt and the agricultural prowess of the Nile Valley. After many years of public fundraising, a monumental version of the sculpture was unveiled in 1928 in Bab el-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Hadid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Square, facing the Cairo railway station. </w:t>
                </w:r>
              </w:p>
              <w:p w:rsidR="00F5608A" w:rsidRPr="00F5608A" w:rsidRDefault="00F5608A" w:rsidP="00F5608A">
                <w:pPr>
                  <w:rPr>
                    <w:rFonts w:ascii="Calibri" w:hAnsi="Calibri" w:cs="Times New Roman"/>
                  </w:rPr>
                </w:pPr>
              </w:p>
              <w:p w:rsidR="00F5608A" w:rsidRPr="00F5608A" w:rsidRDefault="00F5608A" w:rsidP="00F5608A">
                <w:pPr>
                  <w:rPr>
                    <w:rFonts w:ascii="Calibri" w:hAnsi="Calibri" w:cs="Times New Roman"/>
                  </w:rPr>
                </w:pPr>
                <w:r w:rsidRPr="00F5608A">
                  <w:rPr>
                    <w:rFonts w:ascii="Calibri" w:hAnsi="Calibri" w:cs="Times New Roman"/>
                  </w:rPr>
                  <w:t xml:space="preserve">Because of </w:t>
                </w:r>
                <w:proofErr w:type="spellStart"/>
                <w:r w:rsidRPr="00F5608A">
                  <w:rPr>
                    <w:rFonts w:ascii="Calibri" w:hAnsi="Calibri" w:cs="Times New Roman"/>
                    <w:i/>
                  </w:rPr>
                  <w:t>Nahdat</w:t>
                </w:r>
                <w:proofErr w:type="spellEnd"/>
                <w:r w:rsidRPr="00F5608A">
                  <w:rPr>
                    <w:rFonts w:ascii="Calibri" w:hAnsi="Calibri" w:cs="Times New Roman"/>
                    <w:i/>
                  </w:rPr>
                  <w:t xml:space="preserve"> </w:t>
                </w:r>
                <w:proofErr w:type="spellStart"/>
                <w:r w:rsidRPr="00F5608A">
                  <w:rPr>
                    <w:rFonts w:ascii="Calibri" w:hAnsi="Calibri" w:cs="Times New Roman"/>
                    <w:i/>
                  </w:rPr>
                  <w:t>Misr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,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Mokhtar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rose to national prominence, maintaining studios in Cairo and Paris. In 1930, he exhibited bronze, marble, and stone pieces at the renowned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Bernheim-Jeune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Gallery in Paris. In these works, he blended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Pharaonic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imagery with a stylized, classicist aesthetic. The most famous, </w:t>
                </w:r>
                <w:proofErr w:type="spellStart"/>
                <w:r w:rsidRPr="00F5608A">
                  <w:rPr>
                    <w:rFonts w:ascii="Calibri" w:hAnsi="Calibri" w:cs="Times New Roman"/>
                    <w:i/>
                  </w:rPr>
                  <w:t>Khamasin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, portrays a peasant woman battling the sand storms, her cloak blown back, revealing her body. </w:t>
                </w:r>
              </w:p>
              <w:p w:rsidR="00F5608A" w:rsidRPr="00F5608A" w:rsidRDefault="00F5608A" w:rsidP="00F5608A">
                <w:pPr>
                  <w:rPr>
                    <w:rFonts w:ascii="Calibri" w:hAnsi="Calibri" w:cs="Times New Roman"/>
                  </w:rPr>
                </w:pPr>
              </w:p>
              <w:p w:rsidR="003F0D73" w:rsidRPr="00F5608A" w:rsidRDefault="00F5608A" w:rsidP="00C27FAB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F5608A">
                  <w:rPr>
                    <w:rFonts w:ascii="Calibri" w:hAnsi="Calibri" w:cs="Times New Roman"/>
                  </w:rPr>
                  <w:t>Mokhtar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continues to be esteemed as Egypt’s most famous sculptor despite his early death of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leukemia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in 1934. His works,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Nahdat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F5608A">
                  <w:rPr>
                    <w:rFonts w:ascii="Calibri" w:hAnsi="Calibri" w:cs="Times New Roman"/>
                  </w:rPr>
                  <w:t>Misr</w:t>
                </w:r>
                <w:proofErr w:type="spellEnd"/>
                <w:r w:rsidRPr="00F5608A">
                  <w:rPr>
                    <w:rFonts w:ascii="Calibri" w:hAnsi="Calibri" w:cs="Times New Roman"/>
                  </w:rPr>
                  <w:t xml:space="preserve"> in particular, played an active role in larger history of modern Egypt.</w:t>
                </w:r>
                <w:r w:rsidRPr="008B6CFD">
                  <w:rPr>
                    <w:rFonts w:ascii="Times New Roman" w:hAnsi="Times New Roman" w:cs="Times New Roman"/>
                  </w:rPr>
                  <w:t xml:space="preserve">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7763286FEBB0B4AA057FDE445B6C805"/>
              </w:placeholder>
            </w:sdtPr>
            <w:sdtContent>
              <w:p w:rsidR="00F5608A" w:rsidRDefault="00F5608A" w:rsidP="00F5608A">
                <w:sdt>
                  <w:sdtPr>
                    <w:id w:val="-10688026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Calibri" w:hAnsi="Calibri" w:cs="Times New Roman"/>
                        <w:lang w:val="en-US"/>
                      </w:rPr>
                      <w:instrText xml:space="preserve"> CITATION Abū49 \l 1033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 w:cs="Times New Roman"/>
                        <w:noProof/>
                        <w:lang w:val="en-US"/>
                      </w:rPr>
                      <w:t xml:space="preserve"> </w:t>
                    </w:r>
                    <w:r w:rsidRPr="00F5608A">
                      <w:rPr>
                        <w:rFonts w:ascii="Calibri" w:hAnsi="Calibri" w:cs="Times New Roman"/>
                        <w:noProof/>
                        <w:lang w:val="en-US"/>
                      </w:rPr>
                      <w:t>(Abū Ghāzī)</w:t>
                    </w:r>
                    <w:r>
                      <w:fldChar w:fldCharType="end"/>
                    </w:r>
                  </w:sdtContent>
                </w:sdt>
              </w:p>
              <w:p w:rsidR="00F5608A" w:rsidRPr="00F5608A" w:rsidRDefault="00F5608A" w:rsidP="00F5608A">
                <w:pPr>
                  <w:rPr>
                    <w:rFonts w:ascii="Calibri" w:hAnsi="Calibri" w:cs="Times New Roman"/>
                  </w:rPr>
                </w:pPr>
              </w:p>
              <w:p w:rsidR="00F5608A" w:rsidRDefault="00F5608A" w:rsidP="00F5608A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990219999"/>
                    <w:citation/>
                  </w:sdtPr>
                  <w:sdtContent>
                    <w:r>
                      <w:rPr>
                        <w:rFonts w:ascii="Calibri" w:hAnsi="Calibri" w:cs="Times New Roman"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lang w:val="en-US"/>
                      </w:rPr>
                      <w:instrText xml:space="preserve">CITATION Abū641 \l 1033 </w:instrText>
                    </w:r>
                    <w:r>
                      <w:rPr>
                        <w:rFonts w:ascii="Calibri" w:hAnsi="Calibri" w:cs="Times New Roman"/>
                      </w:rPr>
                      <w:fldChar w:fldCharType="separate"/>
                    </w:r>
                    <w:r w:rsidRPr="00F5608A">
                      <w:rPr>
                        <w:rFonts w:ascii="Calibri" w:hAnsi="Calibri" w:cs="Times New Roman"/>
                        <w:noProof/>
                        <w:lang w:val="en-US"/>
                      </w:rPr>
                      <w:t>(B. a.-D. Abū Ghāzī)</w:t>
                    </w:r>
                    <w:r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:rsidR="00F5608A" w:rsidRPr="00F5608A" w:rsidRDefault="00F5608A" w:rsidP="00F5608A">
                <w:pPr>
                  <w:rPr>
                    <w:rFonts w:ascii="Calibri" w:hAnsi="Calibri" w:cs="Times New Roman"/>
                  </w:rPr>
                </w:pPr>
              </w:p>
              <w:p w:rsidR="00F5608A" w:rsidRDefault="00F5608A" w:rsidP="00F5608A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1497150395"/>
                    <w:citation/>
                  </w:sdtPr>
                  <w:sdtContent>
                    <w:r>
                      <w:rPr>
                        <w:rFonts w:ascii="Calibri" w:hAnsi="Calibri" w:cs="Times New Roman"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lang w:val="en-US"/>
                      </w:rPr>
                      <w:instrText xml:space="preserve">CITATION Muk881 \l 1033 </w:instrText>
                    </w:r>
                    <w:r>
                      <w:rPr>
                        <w:rFonts w:ascii="Calibri" w:hAnsi="Calibri" w:cs="Times New Roman"/>
                      </w:rPr>
                      <w:fldChar w:fldCharType="separate"/>
                    </w:r>
                    <w:r w:rsidRPr="00F5608A">
                      <w:rPr>
                        <w:rFonts w:ascii="Calibri" w:hAnsi="Calibri" w:cs="Times New Roman"/>
                        <w:noProof/>
                        <w:lang w:val="en-US"/>
                      </w:rPr>
                      <w:t>(B. a.-D. Abū Ghāzī, Mukhtār, ḥayātuhu wa-fannuh : 'maʻa 44 ṣūrah li-arwaʻ āthār Mukhtār wa-ṣuwar tadhkārīyah ukhrá')</w:t>
                    </w:r>
                    <w:r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:rsidR="00F5608A" w:rsidRPr="00F5608A" w:rsidRDefault="00F5608A" w:rsidP="00F5608A">
                <w:pPr>
                  <w:rPr>
                    <w:rFonts w:ascii="Calibri" w:hAnsi="Calibri" w:cs="Times New Roman"/>
                  </w:rPr>
                </w:pPr>
              </w:p>
              <w:p w:rsidR="00F5608A" w:rsidRDefault="00F5608A" w:rsidP="00F5608A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180349467"/>
                    <w:citation/>
                  </w:sdtPr>
                  <w:sdtContent>
                    <w:r>
                      <w:rPr>
                        <w:rFonts w:ascii="Calibri" w:hAnsi="Calibri" w:cs="Times New Roman"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lang w:val="en-US"/>
                      </w:rPr>
                      <w:instrText xml:space="preserve"> CITATION Bar05 \l 1033 </w:instrText>
                    </w:r>
                    <w:r>
                      <w:rPr>
                        <w:rFonts w:ascii="Calibri" w:hAnsi="Calibri" w:cs="Times New Roman"/>
                      </w:rPr>
                      <w:fldChar w:fldCharType="separate"/>
                    </w:r>
                    <w:r w:rsidRPr="00F5608A">
                      <w:rPr>
                        <w:rFonts w:ascii="Calibri" w:hAnsi="Calibri" w:cs="Times New Roman"/>
                        <w:noProof/>
                        <w:lang w:val="en-US"/>
                      </w:rPr>
                      <w:t>(Baron)</w:t>
                    </w:r>
                    <w:r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:rsidR="00657816" w:rsidRPr="00F5608A" w:rsidRDefault="00657816" w:rsidP="00F5608A">
                <w:pPr>
                  <w:rPr>
                    <w:rFonts w:ascii="Calibri" w:hAnsi="Calibri" w:cs="Times New Roman"/>
                  </w:rPr>
                </w:pPr>
              </w:p>
              <w:p w:rsidR="00657816" w:rsidRDefault="00657816" w:rsidP="00F5608A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1032391638"/>
                    <w:citation/>
                  </w:sdtPr>
                  <w:sdtContent>
                    <w:r>
                      <w:rPr>
                        <w:rFonts w:ascii="Calibri" w:hAnsi="Calibri" w:cs="Times New Roman"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lang w:val="en-US"/>
                      </w:rPr>
                      <w:instrText xml:space="preserve"> CITATION Col071 \l 1033 </w:instrText>
                    </w:r>
                    <w:r>
                      <w:rPr>
                        <w:rFonts w:ascii="Calibri" w:hAnsi="Calibri" w:cs="Times New Roman"/>
                      </w:rPr>
                      <w:fldChar w:fldCharType="separate"/>
                    </w:r>
                    <w:r w:rsidRPr="00657816">
                      <w:rPr>
                        <w:rFonts w:ascii="Calibri" w:hAnsi="Calibri" w:cs="Times New Roman"/>
                        <w:noProof/>
                        <w:lang w:val="en-US"/>
                      </w:rPr>
                      <w:t>(Colla)</w:t>
                    </w:r>
                    <w:r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:rsidR="00657816" w:rsidRPr="00F5608A" w:rsidRDefault="00657816" w:rsidP="00F5608A">
                <w:pPr>
                  <w:rPr>
                    <w:rFonts w:ascii="Calibri" w:hAnsi="Calibri" w:cs="Times New Roman"/>
                  </w:rPr>
                </w:pPr>
              </w:p>
              <w:p w:rsidR="003235A7" w:rsidRPr="00657816" w:rsidRDefault="00657816" w:rsidP="00FB11DE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556005668"/>
                    <w:citation/>
                  </w:sdtPr>
                  <w:sdtContent>
                    <w:r>
                      <w:rPr>
                        <w:rFonts w:ascii="Calibri" w:hAnsi="Calibri" w:cs="Times New Roman"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lang w:val="en-US"/>
                      </w:rPr>
                      <w:instrText xml:space="preserve"> CITATION Ger041 \l 1033 </w:instrText>
                    </w:r>
                    <w:r>
                      <w:rPr>
                        <w:rFonts w:ascii="Calibri" w:hAnsi="Calibri" w:cs="Times New Roman"/>
                      </w:rPr>
                      <w:fldChar w:fldCharType="separate"/>
                    </w:r>
                    <w:r w:rsidRPr="00657816">
                      <w:rPr>
                        <w:rFonts w:ascii="Calibri" w:hAnsi="Calibri" w:cs="Times New Roman"/>
                        <w:noProof/>
                        <w:lang w:val="en-US"/>
                      </w:rPr>
                      <w:t>(Gershoni and Jankowski)</w:t>
                    </w:r>
                    <w:r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08A" w:rsidRDefault="00F5608A" w:rsidP="007A0D55">
      <w:pPr>
        <w:spacing w:after="0" w:line="240" w:lineRule="auto"/>
      </w:pPr>
      <w:r>
        <w:separator/>
      </w:r>
    </w:p>
  </w:endnote>
  <w:endnote w:type="continuationSeparator" w:id="0">
    <w:p w:rsidR="00F5608A" w:rsidRDefault="00F5608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08A" w:rsidRDefault="00F5608A" w:rsidP="007A0D55">
      <w:pPr>
        <w:spacing w:after="0" w:line="240" w:lineRule="auto"/>
      </w:pPr>
      <w:r>
        <w:separator/>
      </w:r>
    </w:p>
  </w:footnote>
  <w:footnote w:type="continuationSeparator" w:id="0">
    <w:p w:rsidR="00F5608A" w:rsidRDefault="00F5608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08A" w:rsidRDefault="00F5608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F5608A" w:rsidRDefault="00F560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8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57816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608A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608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608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B6C41C5347F349AA40C53085990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D5B29-6D14-1444-999B-F0F6FB4DA01C}"/>
      </w:docPartPr>
      <w:docPartBody>
        <w:p w:rsidR="0068595F" w:rsidRDefault="0068595F">
          <w:pPr>
            <w:pStyle w:val="8DB6C41C5347F349AA40C530859909C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BBDF725EB2D4442AF17875187F70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54BAC-CD9E-F146-A373-1D54A8D1D9C0}"/>
      </w:docPartPr>
      <w:docPartBody>
        <w:p w:rsidR="0068595F" w:rsidRDefault="0068595F">
          <w:pPr>
            <w:pStyle w:val="3BBDF725EB2D4442AF17875187F70E4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D624A3C5B39C41A77421F2274F5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B0D4F-52E2-6343-B3B0-9E1811FFCF1F}"/>
      </w:docPartPr>
      <w:docPartBody>
        <w:p w:rsidR="0068595F" w:rsidRDefault="0068595F">
          <w:pPr>
            <w:pStyle w:val="13D624A3C5B39C41A77421F2274F54A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CCCB485027DFE4BB20788897B1C8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4F283-CBBE-994C-BEE8-443930A9D12A}"/>
      </w:docPartPr>
      <w:docPartBody>
        <w:p w:rsidR="0068595F" w:rsidRDefault="0068595F">
          <w:pPr>
            <w:pStyle w:val="5CCCB485027DFE4BB20788897B1C817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B380B17B3E4974AB095C1A71F442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F94BF-DEEB-8B45-8765-39233D0559EB}"/>
      </w:docPartPr>
      <w:docPartBody>
        <w:p w:rsidR="0068595F" w:rsidRDefault="0068595F">
          <w:pPr>
            <w:pStyle w:val="AB380B17B3E4974AB095C1A71F44237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59FB9BBBF6EC3499B94593D9441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A542C-E246-374C-882A-7FB01BED4811}"/>
      </w:docPartPr>
      <w:docPartBody>
        <w:p w:rsidR="0068595F" w:rsidRDefault="0068595F">
          <w:pPr>
            <w:pStyle w:val="A59FB9BBBF6EC3499B94593D9441C26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5C334BFCE146548A2A1981EA8E43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88C0D-CB84-8141-A805-8DADABA0D595}"/>
      </w:docPartPr>
      <w:docPartBody>
        <w:p w:rsidR="0068595F" w:rsidRDefault="0068595F">
          <w:pPr>
            <w:pStyle w:val="85C334BFCE146548A2A1981EA8E43AF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3367D30427E4B42B845A4AC12A4E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055DB-A3DF-8946-81B5-79CB90E8F02A}"/>
      </w:docPartPr>
      <w:docPartBody>
        <w:p w:rsidR="0068595F" w:rsidRDefault="0068595F">
          <w:pPr>
            <w:pStyle w:val="B3367D30427E4B42B845A4AC12A4E00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0DF9F56CA392A49993019235BB68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7A30E-4AFC-A040-94BE-9E4C510101D4}"/>
      </w:docPartPr>
      <w:docPartBody>
        <w:p w:rsidR="0068595F" w:rsidRDefault="0068595F">
          <w:pPr>
            <w:pStyle w:val="C0DF9F56CA392A49993019235BB688A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FE6F6B5A247A947BE06CA1F9DFC6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A1989-811D-7247-99D8-A688E1F21FA1}"/>
      </w:docPartPr>
      <w:docPartBody>
        <w:p w:rsidR="0068595F" w:rsidRDefault="0068595F">
          <w:pPr>
            <w:pStyle w:val="7FE6F6B5A247A947BE06CA1F9DFC6EF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7763286FEBB0B4AA057FDE445B6C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82687-7BB9-0C4A-9C96-1862B3AA9E38}"/>
      </w:docPartPr>
      <w:docPartBody>
        <w:p w:rsidR="0068595F" w:rsidRDefault="0068595F">
          <w:pPr>
            <w:pStyle w:val="E7763286FEBB0B4AA057FDE445B6C805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1FF16FF93837D4BB42CCA37F59C0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E81B4-9663-DC4D-9271-6632CF53459E}"/>
      </w:docPartPr>
      <w:docPartBody>
        <w:p w:rsidR="0068595F" w:rsidRDefault="0068595F" w:rsidP="0068595F">
          <w:pPr>
            <w:pStyle w:val="71FF16FF93837D4BB42CCA37F59C03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5F"/>
    <w:rsid w:val="0068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95F"/>
    <w:rPr>
      <w:color w:val="808080"/>
    </w:rPr>
  </w:style>
  <w:style w:type="paragraph" w:customStyle="1" w:styleId="8DB6C41C5347F349AA40C530859909C1">
    <w:name w:val="8DB6C41C5347F349AA40C530859909C1"/>
  </w:style>
  <w:style w:type="paragraph" w:customStyle="1" w:styleId="3BBDF725EB2D4442AF17875187F70E45">
    <w:name w:val="3BBDF725EB2D4442AF17875187F70E45"/>
  </w:style>
  <w:style w:type="paragraph" w:customStyle="1" w:styleId="13D624A3C5B39C41A77421F2274F54A2">
    <w:name w:val="13D624A3C5B39C41A77421F2274F54A2"/>
  </w:style>
  <w:style w:type="paragraph" w:customStyle="1" w:styleId="5CCCB485027DFE4BB20788897B1C8173">
    <w:name w:val="5CCCB485027DFE4BB20788897B1C8173"/>
  </w:style>
  <w:style w:type="paragraph" w:customStyle="1" w:styleId="AB380B17B3E4974AB095C1A71F44237D">
    <w:name w:val="AB380B17B3E4974AB095C1A71F44237D"/>
  </w:style>
  <w:style w:type="paragraph" w:customStyle="1" w:styleId="A59FB9BBBF6EC3499B94593D9441C268">
    <w:name w:val="A59FB9BBBF6EC3499B94593D9441C268"/>
  </w:style>
  <w:style w:type="paragraph" w:customStyle="1" w:styleId="85C334BFCE146548A2A1981EA8E43AF6">
    <w:name w:val="85C334BFCE146548A2A1981EA8E43AF6"/>
  </w:style>
  <w:style w:type="paragraph" w:customStyle="1" w:styleId="B3367D30427E4B42B845A4AC12A4E00C">
    <w:name w:val="B3367D30427E4B42B845A4AC12A4E00C"/>
  </w:style>
  <w:style w:type="paragraph" w:customStyle="1" w:styleId="C0DF9F56CA392A49993019235BB688AF">
    <w:name w:val="C0DF9F56CA392A49993019235BB688AF"/>
  </w:style>
  <w:style w:type="paragraph" w:customStyle="1" w:styleId="7FE6F6B5A247A947BE06CA1F9DFC6EFD">
    <w:name w:val="7FE6F6B5A247A947BE06CA1F9DFC6EFD"/>
  </w:style>
  <w:style w:type="paragraph" w:customStyle="1" w:styleId="E7763286FEBB0B4AA057FDE445B6C805">
    <w:name w:val="E7763286FEBB0B4AA057FDE445B6C805"/>
  </w:style>
  <w:style w:type="paragraph" w:customStyle="1" w:styleId="71FF16FF93837D4BB42CCA37F59C03EB">
    <w:name w:val="71FF16FF93837D4BB42CCA37F59C03EB"/>
    <w:rsid w:val="0068595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95F"/>
    <w:rPr>
      <w:color w:val="808080"/>
    </w:rPr>
  </w:style>
  <w:style w:type="paragraph" w:customStyle="1" w:styleId="8DB6C41C5347F349AA40C530859909C1">
    <w:name w:val="8DB6C41C5347F349AA40C530859909C1"/>
  </w:style>
  <w:style w:type="paragraph" w:customStyle="1" w:styleId="3BBDF725EB2D4442AF17875187F70E45">
    <w:name w:val="3BBDF725EB2D4442AF17875187F70E45"/>
  </w:style>
  <w:style w:type="paragraph" w:customStyle="1" w:styleId="13D624A3C5B39C41A77421F2274F54A2">
    <w:name w:val="13D624A3C5B39C41A77421F2274F54A2"/>
  </w:style>
  <w:style w:type="paragraph" w:customStyle="1" w:styleId="5CCCB485027DFE4BB20788897B1C8173">
    <w:name w:val="5CCCB485027DFE4BB20788897B1C8173"/>
  </w:style>
  <w:style w:type="paragraph" w:customStyle="1" w:styleId="AB380B17B3E4974AB095C1A71F44237D">
    <w:name w:val="AB380B17B3E4974AB095C1A71F44237D"/>
  </w:style>
  <w:style w:type="paragraph" w:customStyle="1" w:styleId="A59FB9BBBF6EC3499B94593D9441C268">
    <w:name w:val="A59FB9BBBF6EC3499B94593D9441C268"/>
  </w:style>
  <w:style w:type="paragraph" w:customStyle="1" w:styleId="85C334BFCE146548A2A1981EA8E43AF6">
    <w:name w:val="85C334BFCE146548A2A1981EA8E43AF6"/>
  </w:style>
  <w:style w:type="paragraph" w:customStyle="1" w:styleId="B3367D30427E4B42B845A4AC12A4E00C">
    <w:name w:val="B3367D30427E4B42B845A4AC12A4E00C"/>
  </w:style>
  <w:style w:type="paragraph" w:customStyle="1" w:styleId="C0DF9F56CA392A49993019235BB688AF">
    <w:name w:val="C0DF9F56CA392A49993019235BB688AF"/>
  </w:style>
  <w:style w:type="paragraph" w:customStyle="1" w:styleId="7FE6F6B5A247A947BE06CA1F9DFC6EFD">
    <w:name w:val="7FE6F6B5A247A947BE06CA1F9DFC6EFD"/>
  </w:style>
  <w:style w:type="paragraph" w:customStyle="1" w:styleId="E7763286FEBB0B4AA057FDE445B6C805">
    <w:name w:val="E7763286FEBB0B4AA057FDE445B6C805"/>
  </w:style>
  <w:style w:type="paragraph" w:customStyle="1" w:styleId="71FF16FF93837D4BB42CCA37F59C03EB">
    <w:name w:val="71FF16FF93837D4BB42CCA37F59C03EB"/>
    <w:rsid w:val="00685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Abū49</b:Tag>
    <b:SourceType>Book</b:SourceType>
    <b:Guid>{ACC3BD13-1906-4347-AE87-53EF7C259181}</b:Guid>
    <b:Author>
      <b:Author>
        <b:NameList>
          <b:Person>
            <b:Last>Abū Ghāzī</b:Last>
            <b:First>Badr</b:First>
            <b:Middle>al-Dīn, and Gabriel Boctor</b:Middle>
          </b:Person>
        </b:NameList>
      </b:Author>
    </b:Author>
    <b:Title>Mouktar, ou le reveil de l’Égypte</b:Title>
    <b:Publisher>Impr. de H. Urwand</b:Publisher>
    <b:Year>1949</b:Year>
    <b:RefOrder>1</b:RefOrder>
  </b:Source>
  <b:Source>
    <b:Tag>Abū641</b:Tag>
    <b:SourceType>Book</b:SourceType>
    <b:Guid>{5E4C5CFD-62C5-1642-9737-3B46ABDA49C7}</b:Guid>
    <b:Author>
      <b:Author>
        <b:NameList>
          <b:Person>
            <b:Last>Abū Ghāzī</b:Last>
            <b:First>Badr</b:First>
            <b:Middle>al-Dīn</b:Middle>
          </b:Person>
        </b:NameList>
      </b:Author>
    </b:Author>
    <b:Title>Al-Maththāl Mukhtār</b:Title>
    <b:City>Cairo</b:City>
    <b:Publisher>al-Dār al-Qawmīyah lil-Ṭibāʻah wa-al-Nashr</b:Publisher>
    <b:Year>1964</b:Year>
    <b:RefOrder>2</b:RefOrder>
  </b:Source>
  <b:Source>
    <b:Tag>Muk881</b:Tag>
    <b:SourceType>Book</b:SourceType>
    <b:Guid>{F76374CC-96F0-9442-848B-0285D1117D2A}</b:Guid>
    <b:Title>Mukhtār, ḥayātuhu wa-fannuh : 'maʻa 44 ṣūrah li-arwaʻ āthār Mukhtār wa-ṣuwar tadhkārīyah ukhrá'</b:Title>
    <b:City>Cairo</b:City>
    <b:Publisher>al-Hayʼah al-Miṣrīyah al-ʻĀmmah lil-Kitāb</b:Publisher>
    <b:Year>1988</b:Year>
    <b:Author>
      <b:Author>
        <b:NameList>
          <b:Person>
            <b:Last>Abū Ghāzī</b:Last>
            <b:First>Badr</b:First>
            <b:Middle>al-Dīn</b:Middle>
          </b:Person>
        </b:NameList>
      </b:Author>
    </b:Author>
    <b:RefOrder>3</b:RefOrder>
  </b:Source>
  <b:Source>
    <b:Tag>Bar05</b:Tag>
    <b:SourceType>Book</b:SourceType>
    <b:Guid>{03E9B756-40DA-3547-B411-FDEBA0ADD690}</b:Guid>
    <b:Author>
      <b:Author>
        <b:NameList>
          <b:Person>
            <b:Last>Baron</b:Last>
            <b:First>Beth</b:First>
          </b:Person>
        </b:NameList>
      </b:Author>
    </b:Author>
    <b:Title>Egypt as a Woman: Nationalism, Gender, and Politics</b:Title>
    <b:City>Berkeley</b:City>
    <b:Publisher>University of California Press</b:Publisher>
    <b:Year>2005</b:Year>
    <b:RefOrder>4</b:RefOrder>
  </b:Source>
  <b:Source>
    <b:Tag>Col071</b:Tag>
    <b:SourceType>Book</b:SourceType>
    <b:Guid>{5A001801-88EF-4E4E-B148-4E078923B9D3}</b:Guid>
    <b:Author>
      <b:Author>
        <b:NameList>
          <b:Person>
            <b:Last>Colla</b:Last>
            <b:First>Elliott</b:First>
          </b:Person>
        </b:NameList>
      </b:Author>
    </b:Author>
    <b:Title>Conflicted Antiquities: Egyptology, Egyptomania, Egyptian Modernity</b:Title>
    <b:City>Durham</b:City>
    <b:StateProvince>NC</b:StateProvince>
    <b:Publisher>Duke University Press</b:Publisher>
    <b:Year>2007</b:Year>
    <b:RefOrder>5</b:RefOrder>
  </b:Source>
  <b:Source>
    <b:Tag>Ger041</b:Tag>
    <b:SourceType>Book</b:SourceType>
    <b:Guid>{11B2FEE1-5EF8-0244-8D35-EF2D90592968}</b:Guid>
    <b:Author>
      <b:Author>
        <b:NameList>
          <b:Person>
            <b:Last>Gershoni</b:Last>
            <b:First>I</b:First>
          </b:Person>
          <b:Person>
            <b:Last>Jankowski</b:Last>
            <b:First>James</b:First>
            <b:Middle>P.</b:Middle>
          </b:Person>
        </b:NameList>
      </b:Author>
    </b:Author>
    <b:Title>Commemorating the Nation : Collective Memory, Public Commemoration, and National Identity in Twentieth-Century Egypt</b:Title>
    <b:City>Chicago</b:City>
    <b:Publisher>Middle East Documentation Center</b:Publisher>
    <b:Year>2004</b:Year>
    <b:RefOrder>6</b:RefOrder>
  </b:Source>
</b:Sources>
</file>

<file path=customXml/itemProps1.xml><?xml version="1.0" encoding="utf-8"?>
<ds:datastoreItem xmlns:ds="http://schemas.openxmlformats.org/officeDocument/2006/customXml" ds:itemID="{23366EA1-084F-0A4C-A4F4-AC679DA9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2</Pages>
  <Words>524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2015-07-25T19:47:00Z</dcterms:created>
  <dcterms:modified xsi:type="dcterms:W3CDTF">2015-07-25T20:01:00Z</dcterms:modified>
</cp:coreProperties>
</file>