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D0ACF4A36348059F6BC0BF9ED72B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3622BB3C7004416B5BDDFB157769A39"/>
            </w:placeholder>
            <w:text/>
          </w:sdtPr>
          <w:sdtContent>
            <w:tc>
              <w:tcPr>
                <w:tcW w:w="2073" w:type="dxa"/>
              </w:tcPr>
              <w:p w:rsidR="00B574C9" w:rsidRDefault="00CB5D0C" w:rsidP="00CB5D0C">
                <w:r>
                  <w:t>Oliver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FB6DFABE6464AA6039C4303BB43C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0D47CC0F03409F822BC69CB9BBF5F7"/>
            </w:placeholder>
            <w:text/>
          </w:sdtPr>
          <w:sdtContent>
            <w:tc>
              <w:tcPr>
                <w:tcW w:w="2642" w:type="dxa"/>
              </w:tcPr>
              <w:p w:rsidR="00B574C9" w:rsidRDefault="00CB5D0C" w:rsidP="00CB5D0C">
                <w:proofErr w:type="spellStart"/>
                <w:r>
                  <w:t>Botar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7C22A67AD4ABEB9B3B844EE1C5DE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5E72F0E43C4A0E955609CD85BC77AB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742B4092388426A889BFD36C07132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5D0C" w:rsidP="00CB5D0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Biomorphism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BB0C45CE82F4349923F40C916179E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B5D0C" w:rsidP="00CB5D0C">
                <w:r w:rsidRPr="001A688D">
                  <w:t>Biomorphic Modernism, Biomorphic A</w:t>
                </w:r>
                <w:r>
                  <w:t>bstraction, Organic Abstraction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2DE657B7624797AE9601EFEA85BB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B5D0C" w:rsidP="00E85A05">
                <w:proofErr w:type="spellStart"/>
                <w:r>
                  <w:t>Biomorphism</w:t>
                </w:r>
                <w:proofErr w:type="spellEnd"/>
                <w:r w:rsidRPr="001A688D">
                  <w:t xml:space="preserve"> is a twentieth-century style of painting, sculpture</w:t>
                </w:r>
                <w:r>
                  <w:t>, photography and design with roots in the late nineteenth century. It is characteris</w:t>
                </w:r>
                <w:r w:rsidRPr="001A688D">
                  <w:t>ed by what are often termed “organic” forms: curvilinear rather than angular lines and surfaces, presumab</w:t>
                </w:r>
                <w:r>
                  <w:t>ly more typical of</w:t>
                </w:r>
                <w:r>
                  <w:t xml:space="preserve"> </w:t>
                </w:r>
                <w:proofErr w:type="spellStart"/>
                <w:r>
                  <w:t>biomorphs</w:t>
                </w:r>
                <w:proofErr w:type="spellEnd"/>
                <w:r>
                  <w:t xml:space="preserve"> </w:t>
                </w:r>
                <w:r>
                  <w:t>(</w:t>
                </w:r>
                <w:r w:rsidRPr="001A688D">
                  <w:t>life forms</w:t>
                </w:r>
                <w:r>
                  <w:t>)</w:t>
                </w:r>
                <w:r w:rsidRPr="001A688D">
                  <w:t xml:space="preserve"> than orthogonal arrangements.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F92362E25154AAC90243B0A452AB29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5D0C" w:rsidRDefault="00CB5D0C" w:rsidP="00CB5D0C">
                <w:proofErr w:type="spellStart"/>
                <w:r>
                  <w:t>Biomorphism</w:t>
                </w:r>
                <w:proofErr w:type="spellEnd"/>
                <w:r w:rsidRPr="001A688D">
                  <w:t xml:space="preserve"> is a twentieth-century style of painting, sculpture</w:t>
                </w:r>
                <w:r>
                  <w:t>, photography and design with roots in the late nineteenth century. It is characteris</w:t>
                </w:r>
                <w:r w:rsidRPr="001A688D">
                  <w:t>ed by what are often termed “organic” forms: curvilinear rather than angular lines and surfaces, presumab</w:t>
                </w:r>
                <w:r>
                  <w:t>ly more typical of</w:t>
                </w:r>
                <w:r>
                  <w:t xml:space="preserve"> </w:t>
                </w:r>
                <w:proofErr w:type="spellStart"/>
                <w:r>
                  <w:t>biomorphs</w:t>
                </w:r>
                <w:proofErr w:type="spellEnd"/>
                <w:r>
                  <w:t xml:space="preserve"> </w:t>
                </w:r>
                <w:r>
                  <w:t>(</w:t>
                </w:r>
                <w:r w:rsidRPr="001A688D">
                  <w:t>life forms</w:t>
                </w:r>
                <w:r>
                  <w:t>)</w:t>
                </w:r>
                <w:r w:rsidRPr="001A688D">
                  <w:t xml:space="preserve"> than orthogonal arrangements.</w:t>
                </w:r>
              </w:p>
              <w:p w:rsidR="00CB5D0C" w:rsidRDefault="00CB5D0C" w:rsidP="00CB5D0C"/>
              <w:p w:rsidR="00CB5D0C" w:rsidRDefault="00CB5D0C" w:rsidP="00CB5D0C">
                <w:r w:rsidRPr="001A688D">
                  <w:t>The term “</w:t>
                </w:r>
                <w:proofErr w:type="spellStart"/>
                <w:r w:rsidRPr="001A688D">
                  <w:t>biomorph</w:t>
                </w:r>
                <w:proofErr w:type="spellEnd"/>
                <w:r w:rsidRPr="001A688D">
                  <w:t xml:space="preserve">” was coined by English anthropologist Alfred </w:t>
                </w:r>
                <w:proofErr w:type="spellStart"/>
                <w:r w:rsidRPr="001A688D">
                  <w:t>Cort</w:t>
                </w:r>
                <w:proofErr w:type="spellEnd"/>
                <w:r w:rsidRPr="001A688D">
                  <w:t xml:space="preserve"> Haddon in 1895 to refer to designs derived from animate sources. It was applied to Modernist art by English critic Geoffrey </w:t>
                </w:r>
                <w:proofErr w:type="spellStart"/>
                <w:r w:rsidRPr="001A688D">
                  <w:t>Grigson</w:t>
                </w:r>
                <w:proofErr w:type="spellEnd"/>
                <w:r w:rsidRPr="001A688D">
                  <w:t xml:space="preserve"> in 1934, and was soon adopted by Alfred Barr in </w:t>
                </w:r>
                <w:r w:rsidRPr="001A688D">
                  <w:rPr>
                    <w:i/>
                  </w:rPr>
                  <w:t>Cubism and Abstract Art</w:t>
                </w:r>
                <w:r w:rsidRPr="001A688D">
                  <w:t>, his 1936 account of Modernist movements. While Barr used it to designate one of two styles of abstraction</w:t>
                </w:r>
                <w:r>
                  <w:t xml:space="preserve"> (geometric abstraction</w:t>
                </w:r>
                <w:r w:rsidRPr="001A688D">
                  <w:t xml:space="preserve"> was the other), the term has been used </w:t>
                </w:r>
                <w:r>
                  <w:t>for both abstracted but recognis</w:t>
                </w:r>
                <w:r w:rsidRPr="001A688D">
                  <w:t>able depictions (usually plants, ani</w:t>
                </w:r>
                <w:r>
                  <w:t xml:space="preserve">mals or geological formations) </w:t>
                </w:r>
                <w:r w:rsidRPr="001A688D">
                  <w:t>and non-mimetic or difficult</w:t>
                </w:r>
                <w:r>
                  <w:t xml:space="preserve">-to-decipher curvilinear forms. </w:t>
                </w:r>
                <w:r w:rsidRPr="001A688D">
                  <w:t>I</w:t>
                </w:r>
                <w:r>
                  <w:t>n his 1932 article ‘</w:t>
                </w:r>
                <w:proofErr w:type="spellStart"/>
                <w:r>
                  <w:t>Bioromantik</w:t>
                </w:r>
                <w:proofErr w:type="spellEnd"/>
                <w:r>
                  <w:t>,</w:t>
                </w:r>
                <w:r>
                  <w:t>’</w:t>
                </w:r>
                <w:r w:rsidRPr="001A688D">
                  <w:t xml:space="preserve"> the Hungarian critic </w:t>
                </w:r>
                <w:proofErr w:type="spellStart"/>
                <w:r w:rsidRPr="001A688D">
                  <w:t>Ernő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K</w:t>
                </w:r>
                <w:r>
                  <w:t>állai</w:t>
                </w:r>
                <w:proofErr w:type="spellEnd"/>
                <w:r>
                  <w:t xml:space="preserve"> </w:t>
                </w:r>
                <w:r>
                  <w:t>theoris</w:t>
                </w:r>
                <w:r>
                  <w:t xml:space="preserve">ed that </w:t>
                </w:r>
                <w:r w:rsidRPr="001A688D">
                  <w:t xml:space="preserve">abstract art reflected the deep-seated identity of nature and humanity, </w:t>
                </w:r>
                <w:r>
                  <w:t xml:space="preserve">and </w:t>
                </w:r>
                <w:r w:rsidRPr="001A688D">
                  <w:t xml:space="preserve">that it intuitively figured normally unseen forms revealed through scientific means like microscopy, </w:t>
                </w:r>
                <w:proofErr w:type="spellStart"/>
                <w:r w:rsidRPr="001A688D">
                  <w:t>telescopy</w:t>
                </w:r>
                <w:proofErr w:type="spellEnd"/>
                <w:r w:rsidRPr="001A688D">
                  <w:t>, x-ray and undersea photography</w:t>
                </w:r>
                <w:r>
                  <w:t>. A process of</w:t>
                </w:r>
                <w:r w:rsidRPr="001A688D">
                  <w:t xml:space="preserve"> </w:t>
                </w:r>
                <w:proofErr w:type="spellStart"/>
                <w:r>
                  <w:t>aestheticis</w:t>
                </w:r>
                <w:r>
                  <w:t>ing</w:t>
                </w:r>
                <w:proofErr w:type="spellEnd"/>
                <w:r w:rsidRPr="001A688D">
                  <w:t xml:space="preserve"> scientific imagery had alr</w:t>
                </w:r>
                <w:r>
                  <w:t>eady begun at the turn of the twentieth</w:t>
                </w:r>
                <w:r w:rsidRPr="001A688D">
                  <w:t xml:space="preserve"> century in the art of biologist Ernst Haeckel, and had been theorized in the writings of </w:t>
                </w:r>
                <w:proofErr w:type="spellStart"/>
                <w:r w:rsidRPr="001A688D">
                  <w:t>László</w:t>
                </w:r>
                <w:proofErr w:type="spellEnd"/>
                <w:r w:rsidRPr="001A688D">
                  <w:t xml:space="preserve"> Moholy-Nagy during the mid-1920s. In this sense, </w:t>
                </w:r>
                <w:proofErr w:type="spellStart"/>
                <w:r w:rsidRPr="001A688D">
                  <w:t>Kállai</w:t>
                </w:r>
                <w:proofErr w:type="spellEnd"/>
                <w:r>
                  <w:t xml:space="preserve"> held that such art was deeply realistic.</w:t>
                </w:r>
                <w:r w:rsidRPr="001A688D">
                  <w:t xml:space="preserve"> The analogy of scientific photography and abstract art – a </w:t>
                </w:r>
                <w:proofErr w:type="spellStart"/>
                <w:r w:rsidRPr="001A688D">
                  <w:t>trope</w:t>
                </w:r>
                <w:proofErr w:type="spellEnd"/>
                <w:r w:rsidRPr="001A688D">
                  <w:t xml:space="preserve"> of mid-twentieth century Modernist discourse, has been termed the “</w:t>
                </w:r>
                <w:proofErr w:type="spellStart"/>
                <w:r w:rsidRPr="001A688D">
                  <w:t>naturamorphic</w:t>
                </w:r>
                <w:proofErr w:type="spellEnd"/>
                <w:r w:rsidRPr="001A688D">
                  <w:t xml:space="preserve"> analogy.”</w:t>
                </w:r>
                <w:r w:rsidRPr="001A688D" w:rsidDel="00BB0E19">
                  <w:t xml:space="preserve"> </w:t>
                </w:r>
              </w:p>
              <w:p w:rsidR="00CB5D0C" w:rsidRDefault="00CB5D0C" w:rsidP="00CB5D0C"/>
              <w:p w:rsidR="00CB5D0C" w:rsidRDefault="00CB5D0C" w:rsidP="00CB5D0C">
                <w:r w:rsidRPr="001A688D">
                  <w:t xml:space="preserve">The mimetic Biomorphic </w:t>
                </w:r>
                <w:r>
                  <w:t>style was pioneered by late nineteenth</w:t>
                </w:r>
                <w:r>
                  <w:t xml:space="preserve"> century figures</w:t>
                </w:r>
                <w:r w:rsidRPr="001A688D">
                  <w:t xml:space="preserve"> </w:t>
                </w:r>
                <w:proofErr w:type="spellStart"/>
                <w:r w:rsidRPr="001A688D">
                  <w:t>Odilon</w:t>
                </w:r>
                <w:proofErr w:type="spellEnd"/>
                <w:r w:rsidRPr="001A688D">
                  <w:t xml:space="preserve"> Redon, Vincent van Gogh, Paul Gauguin, Georges Lacombe and </w:t>
                </w:r>
                <w:proofErr w:type="spellStart"/>
                <w:r w:rsidRPr="001A688D">
                  <w:t>Auguste</w:t>
                </w:r>
                <w:proofErr w:type="spellEnd"/>
                <w:r w:rsidRPr="001A688D">
                  <w:t xml:space="preserve"> Rodin. It</w:t>
                </w:r>
                <w:r>
                  <w:t xml:space="preserve"> was adapted during the early twentieth</w:t>
                </w:r>
                <w:r w:rsidRPr="001A688D">
                  <w:t xml:space="preserve"> century by </w:t>
                </w:r>
                <w:proofErr w:type="spellStart"/>
                <w:r w:rsidRPr="001A688D">
                  <w:t>Constantin</w:t>
                </w:r>
                <w:proofErr w:type="spellEnd"/>
                <w:r w:rsidRPr="001A688D">
                  <w:t xml:space="preserve"> Branc</w:t>
                </w:r>
                <w:r>
                  <w:t>us</w:t>
                </w:r>
                <w:r w:rsidRPr="001A688D">
                  <w:t xml:space="preserve">i, Arthur Dove, Franz </w:t>
                </w:r>
                <w:r>
                  <w:t>Marc and Georgia O’Keeffe. Though</w:t>
                </w:r>
                <w:r w:rsidRPr="001A688D">
                  <w:t xml:space="preserve"> beginning with recognizable forms, </w:t>
                </w:r>
                <w:proofErr w:type="spellStart"/>
                <w:r w:rsidRPr="001A688D">
                  <w:t>Wassily</w:t>
                </w:r>
                <w:proofErr w:type="spellEnd"/>
                <w:r w:rsidRPr="001A688D">
                  <w:t xml:space="preserve"> Kandinsky and </w:t>
                </w:r>
                <w:proofErr w:type="spellStart"/>
                <w:r w:rsidRPr="001A688D">
                  <w:t>František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Kupka’s</w:t>
                </w:r>
                <w:proofErr w:type="spellEnd"/>
                <w:r w:rsidRPr="001A688D">
                  <w:t xml:space="preserve"> paintings fed into an abstract style in which recognizable forms were difficult to discern. This gave rise to the interwar heyday of Biomorp</w:t>
                </w:r>
                <w:r>
                  <w:t>hic Abstraction in the work of</w:t>
                </w:r>
                <w:r w:rsidRPr="001A688D">
                  <w:t xml:space="preserve"> Mikhail </w:t>
                </w:r>
                <w:proofErr w:type="spellStart"/>
                <w:r w:rsidRPr="001A688D">
                  <w:t>Matiushin</w:t>
                </w:r>
                <w:proofErr w:type="spellEnd"/>
                <w:r w:rsidRPr="001A688D">
                  <w:t xml:space="preserve">, Hans Arp, Willy </w:t>
                </w:r>
                <w:proofErr w:type="spellStart"/>
                <w:r w:rsidRPr="001A688D">
                  <w:t>Baumeister</w:t>
                </w:r>
                <w:proofErr w:type="spellEnd"/>
                <w:r w:rsidRPr="001A688D">
                  <w:t xml:space="preserve">, Alexander Calder, </w:t>
                </w:r>
                <w:proofErr w:type="spellStart"/>
                <w:r w:rsidRPr="001A688D">
                  <w:t>Naum</w:t>
                </w:r>
                <w:proofErr w:type="spellEnd"/>
                <w:r w:rsidRPr="001A688D">
                  <w:t xml:space="preserve"> Gabo and Jean </w:t>
                </w:r>
                <w:proofErr w:type="spellStart"/>
                <w:r w:rsidRPr="001A688D">
                  <w:t>Héli</w:t>
                </w:r>
                <w:r>
                  <w:t>on</w:t>
                </w:r>
                <w:proofErr w:type="spellEnd"/>
                <w:r>
                  <w:t xml:space="preserve"> – </w:t>
                </w:r>
                <w:r>
                  <w:t>many of them</w:t>
                </w:r>
                <w:r>
                  <w:t xml:space="preserve"> were also</w:t>
                </w:r>
                <w:r>
                  <w:t xml:space="preserve"> involved with </w:t>
                </w:r>
                <w:r w:rsidRPr="000E44F0">
                  <w:t>Abstraction-Creation</w:t>
                </w:r>
                <w:r>
                  <w:t xml:space="preserve">. </w:t>
                </w:r>
                <w:r w:rsidRPr="001A688D">
                  <w:t xml:space="preserve">Some Modernists such as Paul Klee, Barbara Hepworth, Henry Moore, Isamu Noguchi, and Pablo Picasso retained a mimetic quality to their Biomorphic Modernist work. </w:t>
                </w:r>
                <w:r w:rsidRPr="001A688D">
                  <w:lastRenderedPageBreak/>
                  <w:t xml:space="preserve">Surrealists Max Ernst, André Masson, Joan </w:t>
                </w:r>
                <w:proofErr w:type="spellStart"/>
                <w:r w:rsidRPr="001A688D">
                  <w:t>Miró</w:t>
                </w:r>
                <w:proofErr w:type="spellEnd"/>
                <w:r w:rsidRPr="001A688D">
                  <w:t xml:space="preserve">, </w:t>
                </w:r>
                <w:proofErr w:type="spellStart"/>
                <w:r w:rsidRPr="001A688D">
                  <w:t>Ján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Styrský</w:t>
                </w:r>
                <w:proofErr w:type="spellEnd"/>
                <w:r w:rsidRPr="001A688D">
                  <w:t>, Yves Tanguy a</w:t>
                </w:r>
                <w:r>
                  <w:t xml:space="preserve">nd </w:t>
                </w:r>
                <w:proofErr w:type="spellStart"/>
                <w:r>
                  <w:t>Toyen</w:t>
                </w:r>
                <w:proofErr w:type="spellEnd"/>
                <w:r>
                  <w:t xml:space="preserve"> often included recognis</w:t>
                </w:r>
                <w:r w:rsidRPr="001A688D">
                  <w:t xml:space="preserve">able but </w:t>
                </w:r>
                <w:proofErr w:type="spellStart"/>
                <w:r w:rsidRPr="001A688D">
                  <w:t>oneiric</w:t>
                </w:r>
                <w:proofErr w:type="spellEnd"/>
                <w:r w:rsidRPr="001A688D">
                  <w:t xml:space="preserve"> forms. Some of their work was inspired by the Surrealist technique of automatism, leading to the post-war period dominated by artists of the New York School such as </w:t>
                </w:r>
                <w:proofErr w:type="spellStart"/>
                <w:r w:rsidRPr="001A688D">
                  <w:t>Arshile</w:t>
                </w:r>
                <w:proofErr w:type="spellEnd"/>
                <w:r w:rsidRPr="001A688D">
                  <w:t xml:space="preserve"> Gorky,</w:t>
                </w:r>
                <w:r>
                  <w:t xml:space="preserve"> Lee Krasner, Robert Motherwell, </w:t>
                </w:r>
                <w:r w:rsidRPr="001A688D">
                  <w:t xml:space="preserve">Jackson Pollock and Mark Rothko, but also Clifford Still and members of the Montréal </w:t>
                </w:r>
                <w:proofErr w:type="spellStart"/>
                <w:r w:rsidRPr="001A688D">
                  <w:rPr>
                    <w:i/>
                  </w:rPr>
                  <w:t>Automatistes</w:t>
                </w:r>
                <w:proofErr w:type="spellEnd"/>
                <w:r w:rsidRPr="001A688D">
                  <w:t xml:space="preserve"> such as Paul-Emile </w:t>
                </w:r>
                <w:proofErr w:type="spellStart"/>
                <w:r w:rsidRPr="001A688D">
                  <w:t>Borduas</w:t>
                </w:r>
                <w:proofErr w:type="spellEnd"/>
                <w:r w:rsidRPr="001A688D">
                  <w:t xml:space="preserve"> </w:t>
                </w:r>
                <w:r>
                  <w:t xml:space="preserve">and Jean-Paul </w:t>
                </w:r>
                <w:proofErr w:type="spellStart"/>
                <w:r>
                  <w:t>Riopelle</w:t>
                </w:r>
                <w:proofErr w:type="spellEnd"/>
                <w:r>
                  <w:t xml:space="preserve">. </w:t>
                </w:r>
                <w:r w:rsidRPr="001A688D">
                  <w:t>Some int</w:t>
                </w:r>
                <w:r>
                  <w:t>erwar photographers abstracted</w:t>
                </w:r>
                <w:r w:rsidRPr="001A688D">
                  <w:t xml:space="preserve"> their work by taking close-ups of living forms (Karl </w:t>
                </w:r>
                <w:proofErr w:type="spellStart"/>
                <w:r w:rsidRPr="001A688D">
                  <w:t>Blossfeldt</w:t>
                </w:r>
                <w:proofErr w:type="spellEnd"/>
                <w:r w:rsidRPr="001A688D">
                  <w:t xml:space="preserve">, </w:t>
                </w:r>
                <w:proofErr w:type="spellStart"/>
                <w:r w:rsidRPr="001A688D">
                  <w:t>Imogen</w:t>
                </w:r>
                <w:proofErr w:type="spellEnd"/>
                <w:r w:rsidRPr="001A688D">
                  <w:t xml:space="preserve"> Cunningham, Paul Nash, Albert </w:t>
                </w:r>
                <w:proofErr w:type="spellStart"/>
                <w:r w:rsidRPr="001A688D">
                  <w:t>Renger-Patzsch</w:t>
                </w:r>
                <w:proofErr w:type="spellEnd"/>
                <w:r w:rsidRPr="001A688D">
                  <w:t xml:space="preserve">, Edward Weston, </w:t>
                </w:r>
                <w:proofErr w:type="spellStart"/>
                <w:proofErr w:type="gramStart"/>
                <w:r w:rsidRPr="001A688D">
                  <w:t>Wols</w:t>
                </w:r>
                <w:proofErr w:type="spellEnd"/>
                <w:proofErr w:type="gramEnd"/>
                <w:r w:rsidRPr="001A688D">
                  <w:t>). It has been pointed out that many Biomorphic Modernist works</w:t>
                </w:r>
                <w:r>
                  <w:t xml:space="preserve"> reflect the nature-centric</w:t>
                </w:r>
                <w:r w:rsidRPr="001A688D">
                  <w:t xml:space="preserve"> worldviews of the artists, foregrounding themes such as life, gestation, or</w:t>
                </w:r>
                <w:r>
                  <w:t>igins, and birth, but also the dark</w:t>
                </w:r>
                <w:r w:rsidRPr="001A688D">
                  <w:t xml:space="preserve"> side of nature such as chaos and destruction.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6B48354D024957BDC8CEDE0BD0F8EA"/>
              </w:placeholder>
            </w:sdtPr>
            <w:sdtContent>
              <w:p w:rsidR="00CB5D0C" w:rsidRDefault="00CB5D0C" w:rsidP="00CB5D0C">
                <w:sdt>
                  <w:sdtPr>
                    <w:id w:val="1351545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Bot11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CB5D0C">
                      <w:rPr>
                        <w:noProof/>
                        <w:lang w:val="en-CA"/>
                      </w:rPr>
                      <w:t>(Botar)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5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Dou84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(Douglas)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5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Gei05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(Geiger)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6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Huy71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(Huyghe)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6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Orc94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(Orchard)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6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Rit68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(Ritterbush)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CB5D0C" w:rsidRDefault="00CB5D0C" w:rsidP="00CB5D0C">
                <w:sdt>
                  <w:sdtPr>
                    <w:id w:val="1351546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Wün97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(Wünsche)</w:t>
                    </w:r>
                    <w:r>
                      <w:fldChar w:fldCharType="end"/>
                    </w:r>
                  </w:sdtContent>
                </w:sdt>
              </w:p>
              <w:p w:rsidR="00CB5D0C" w:rsidRDefault="00CB5D0C" w:rsidP="00CB5D0C"/>
              <w:p w:rsidR="003235A7" w:rsidRDefault="00CB5D0C" w:rsidP="00CB5D0C">
                <w:sdt>
                  <w:sdtPr>
                    <w:id w:val="1351546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Wün15 \l 4105 </w:instrText>
                    </w:r>
                    <w:r>
                      <w:fldChar w:fldCharType="separate"/>
                    </w:r>
                    <w:r w:rsidRPr="00CB5D0C">
                      <w:rPr>
                        <w:noProof/>
                        <w:lang w:val="en-CA"/>
                      </w:rPr>
                      <w:t>(Wünsche, The Organic School of the Russian Avant-Garde)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 w:rsidSect="00B661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90D" w:rsidRDefault="007C790D" w:rsidP="007A0D55">
      <w:pPr>
        <w:spacing w:after="0" w:line="240" w:lineRule="auto"/>
      </w:pPr>
      <w:r>
        <w:separator/>
      </w:r>
    </w:p>
  </w:endnote>
  <w:endnote w:type="continuationSeparator" w:id="0">
    <w:p w:rsidR="007C790D" w:rsidRDefault="007C79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90D" w:rsidRDefault="007C790D" w:rsidP="007A0D55">
      <w:pPr>
        <w:spacing w:after="0" w:line="240" w:lineRule="auto"/>
      </w:pPr>
      <w:r>
        <w:separator/>
      </w:r>
    </w:p>
  </w:footnote>
  <w:footnote w:type="continuationSeparator" w:id="0">
    <w:p w:rsidR="007C790D" w:rsidRDefault="007C79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90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790D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6123"/>
    <w:rsid w:val="00BC39C9"/>
    <w:rsid w:val="00BE5BF7"/>
    <w:rsid w:val="00BF40E1"/>
    <w:rsid w:val="00C27FAB"/>
    <w:rsid w:val="00C358D4"/>
    <w:rsid w:val="00C6296B"/>
    <w:rsid w:val="00CB5D0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D0ACF4A36348059F6BC0BF9ED7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A0108-5BB7-45C8-A592-3E0977858EFB}"/>
      </w:docPartPr>
      <w:docPartBody>
        <w:p w:rsidR="00000000" w:rsidRDefault="00FD73CE">
          <w:pPr>
            <w:pStyle w:val="6CD0ACF4A36348059F6BC0BF9ED72B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3622BB3C7004416B5BDDFB15776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BF0C-9408-445C-976A-68E8CD7438CD}"/>
      </w:docPartPr>
      <w:docPartBody>
        <w:p w:rsidR="00000000" w:rsidRDefault="00FD73CE">
          <w:pPr>
            <w:pStyle w:val="F3622BB3C7004416B5BDDFB157769A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FB6DFABE6464AA6039C4303BB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77CD4-E32C-48BB-8D86-F895AE9BF55B}"/>
      </w:docPartPr>
      <w:docPartBody>
        <w:p w:rsidR="00000000" w:rsidRDefault="00FD73CE">
          <w:pPr>
            <w:pStyle w:val="B68FB6DFABE6464AA6039C4303BB43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0D47CC0F03409F822BC69CB9BB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ADE1-D643-4E7D-BEBB-410264DB7BF9}"/>
      </w:docPartPr>
      <w:docPartBody>
        <w:p w:rsidR="00000000" w:rsidRDefault="00FD73CE">
          <w:pPr>
            <w:pStyle w:val="E70D47CC0F03409F822BC69CB9BBF5F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527C22A67AD4ABEB9B3B844EE1C5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7995-C6EB-4BBD-946C-8282BBF07DA7}"/>
      </w:docPartPr>
      <w:docPartBody>
        <w:p w:rsidR="00000000" w:rsidRDefault="00FD73CE">
          <w:pPr>
            <w:pStyle w:val="4527C22A67AD4ABEB9B3B844EE1C5D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5E72F0E43C4A0E955609CD85BC7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AB48E-EB3C-47A8-945C-CBCC87ADB043}"/>
      </w:docPartPr>
      <w:docPartBody>
        <w:p w:rsidR="00000000" w:rsidRDefault="00FD73CE">
          <w:pPr>
            <w:pStyle w:val="9E5E72F0E43C4A0E955609CD85BC77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742B4092388426A889BFD36C0713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35707-6EC3-490F-9BDB-5834D75C5FC5}"/>
      </w:docPartPr>
      <w:docPartBody>
        <w:p w:rsidR="00000000" w:rsidRDefault="00FD73CE">
          <w:pPr>
            <w:pStyle w:val="3742B4092388426A889BFD36C07132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BB0C45CE82F4349923F40C916179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B288-7FB2-4AC1-9899-A035AA605398}"/>
      </w:docPartPr>
      <w:docPartBody>
        <w:p w:rsidR="00000000" w:rsidRDefault="00FD73CE">
          <w:pPr>
            <w:pStyle w:val="CBB0C45CE82F4349923F40C916179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2DE657B7624797AE9601EFEA85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73B1-920E-4DB6-A9A0-F29443F16FD1}"/>
      </w:docPartPr>
      <w:docPartBody>
        <w:p w:rsidR="00000000" w:rsidRDefault="00FD73CE">
          <w:pPr>
            <w:pStyle w:val="9A2DE657B7624797AE9601EFEA85BB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F92362E25154AAC90243B0A452A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7658-0448-4557-94DB-5CC1D0AB7A30}"/>
      </w:docPartPr>
      <w:docPartBody>
        <w:p w:rsidR="00000000" w:rsidRDefault="00FD73CE">
          <w:pPr>
            <w:pStyle w:val="6F92362E25154AAC90243B0A452AB2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6B48354D024957BDC8CEDE0BD0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7A84-4252-41DE-A239-495E62813640}"/>
      </w:docPartPr>
      <w:docPartBody>
        <w:p w:rsidR="00000000" w:rsidRDefault="00FD73CE">
          <w:pPr>
            <w:pStyle w:val="7B6B48354D024957BDC8CEDE0BD0F8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73CE"/>
    <w:rsid w:val="00FD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D0ACF4A36348059F6BC0BF9ED72B3E">
    <w:name w:val="6CD0ACF4A36348059F6BC0BF9ED72B3E"/>
  </w:style>
  <w:style w:type="paragraph" w:customStyle="1" w:styleId="F3622BB3C7004416B5BDDFB157769A39">
    <w:name w:val="F3622BB3C7004416B5BDDFB157769A39"/>
  </w:style>
  <w:style w:type="paragraph" w:customStyle="1" w:styleId="B68FB6DFABE6464AA6039C4303BB43CE">
    <w:name w:val="B68FB6DFABE6464AA6039C4303BB43CE"/>
  </w:style>
  <w:style w:type="paragraph" w:customStyle="1" w:styleId="E70D47CC0F03409F822BC69CB9BBF5F7">
    <w:name w:val="E70D47CC0F03409F822BC69CB9BBF5F7"/>
  </w:style>
  <w:style w:type="paragraph" w:customStyle="1" w:styleId="4527C22A67AD4ABEB9B3B844EE1C5DED">
    <w:name w:val="4527C22A67AD4ABEB9B3B844EE1C5DED"/>
  </w:style>
  <w:style w:type="paragraph" w:customStyle="1" w:styleId="9E5E72F0E43C4A0E955609CD85BC77AB">
    <w:name w:val="9E5E72F0E43C4A0E955609CD85BC77AB"/>
  </w:style>
  <w:style w:type="paragraph" w:customStyle="1" w:styleId="3742B4092388426A889BFD36C071320B">
    <w:name w:val="3742B4092388426A889BFD36C071320B"/>
  </w:style>
  <w:style w:type="paragraph" w:customStyle="1" w:styleId="CBB0C45CE82F4349923F40C916179E99">
    <w:name w:val="CBB0C45CE82F4349923F40C916179E99"/>
  </w:style>
  <w:style w:type="paragraph" w:customStyle="1" w:styleId="9A2DE657B7624797AE9601EFEA85BB93">
    <w:name w:val="9A2DE657B7624797AE9601EFEA85BB93"/>
  </w:style>
  <w:style w:type="paragraph" w:customStyle="1" w:styleId="6F92362E25154AAC90243B0A452AB291">
    <w:name w:val="6F92362E25154AAC90243B0A452AB291"/>
  </w:style>
  <w:style w:type="paragraph" w:customStyle="1" w:styleId="7B6B48354D024957BDC8CEDE0BD0F8EA">
    <w:name w:val="7B6B48354D024957BDC8CEDE0BD0F8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Bot11</b:Tag>
    <b:SourceType>Book</b:SourceType>
    <b:Guid>{803064F8-88A9-47CE-97DA-6F152A6809E3}</b:Guid>
    <b:LCID>0</b:LCID>
    <b:Author>
      <b:Author>
        <b:NameList>
          <b:Person>
            <b:Last>Botar</b:Last>
            <b:First>Oliver</b:First>
            <b:Middle>and Wünsche, Isabel, eds.</b:Middle>
          </b:Person>
        </b:NameList>
      </b:Author>
    </b:Author>
    <b:Title>Biocentrism and Modernism</b:Title>
    <b:Year>2011</b:Year>
    <b:City>Farnham, UK</b:City>
    <b:Publisher>Ashgate</b:Publisher>
    <b:Medium>Print</b:Medium>
    <b:RefOrder>1</b:RefOrder>
  </b:Source>
  <b:Source>
    <b:Tag>Dou84</b:Tag>
    <b:SourceType>JournalArticle</b:SourceType>
    <b:Guid>{E37ADF73-CCE5-4649-A3B7-EBE310BA83DC}</b:Guid>
    <b:LCID>0</b:LCID>
    <b:Author>
      <b:Author>
        <b:NameList>
          <b:Person>
            <b:Last>Douglas</b:Last>
            <b:First>Charlotte</b:First>
          </b:Person>
        </b:NameList>
      </b:Author>
    </b:Author>
    <b:Title>Evolution and the Biological Metaphor in Modern Russian Art</b:Title>
    <b:Year>1984</b:Year>
    <b:Medium>Print</b:Medium>
    <b:JournalName>Art Journal 44.2</b:JournalName>
    <b:RefOrder>2</b:RefOrder>
  </b:Source>
  <b:Source>
    <b:Tag>Gei05</b:Tag>
    <b:SourceType>Book</b:SourceType>
    <b:Guid>{412FA428-5DCA-47F1-9225-ACBD6161E8A2}</b:Guid>
    <b:LCID>0</b:LCID>
    <b:Author>
      <b:Author>
        <b:NameList>
          <b:Person>
            <b:Last>Geiger</b:Last>
            <b:First>Annette,</b:First>
            <b:Middle>Stefanie Hennecke, and Christin Kempf eds.</b:Middle>
          </b:Person>
        </b:NameList>
      </b:Author>
    </b:Author>
    <b:Title>Spielarten des Organischen in Architektur, Design und Kunst</b:Title>
    <b:Year>2005</b:Year>
    <b:Medium>Print</b:Medium>
    <b:City>Berlin</b:City>
    <b:Publisher>Reimer</b:Publisher>
    <b:RefOrder>3</b:RefOrder>
  </b:Source>
  <b:Source>
    <b:Tag>Huy71</b:Tag>
    <b:SourceType>Book</b:SourceType>
    <b:Guid>{3B92F1FB-DF69-4DCC-BED7-0FDEF8AFBF6A}</b:Guid>
    <b:LCID>0</b:LCID>
    <b:Author>
      <b:Author>
        <b:NameList>
          <b:Person>
            <b:Last>Huyghe</b:Last>
            <b:First>René</b:First>
          </b:Person>
        </b:NameList>
      </b:Author>
    </b:Author>
    <b:Title>Formes et Forces: de l'atome à Rembrandt</b:Title>
    <b:Year>1971</b:Year>
    <b:City>Paris</b:City>
    <b:Publisher>Flammarion</b:Publisher>
    <b:Medium>Print</b:Medium>
    <b:RefOrder>4</b:RefOrder>
  </b:Source>
  <b:Source>
    <b:Tag>Orc94</b:Tag>
    <b:SourceType>Book</b:SourceType>
    <b:Guid>{E795FD0E-A0B7-4687-9DD6-C5DF902B7098}</b:Guid>
    <b:LCID>0</b:LCID>
    <b:Author>
      <b:Author>
        <b:NameList>
          <b:Person>
            <b:Last>Orchard</b:Last>
            <b:First>Karin</b:First>
          </b:Person>
        </b:NameList>
      </b:Author>
    </b:Author>
    <b:Title>Die Erfindung der Natur: Max Ernst, Paul Klee, Wols und das surreale Universum</b:Title>
    <b:Year>1994</b:Year>
    <b:City>Frieburg im Breisgau</b:City>
    <b:Publisher>Rombach</b:Publisher>
    <b:Medium>Print</b:Medium>
    <b:RefOrder>5</b:RefOrder>
  </b:Source>
  <b:Source>
    <b:Tag>Rit68</b:Tag>
    <b:SourceType>Book</b:SourceType>
    <b:Guid>{0DC9400C-F35B-4575-9CFB-F8A338DCC8B2}</b:Guid>
    <b:LCID>0</b:LCID>
    <b:Author>
      <b:Author>
        <b:NameList>
          <b:Person>
            <b:Last>Ritterbush</b:Last>
            <b:First>Phillip</b:First>
            <b:Middle>C.</b:Middle>
          </b:Person>
        </b:NameList>
      </b:Author>
    </b:Author>
    <b:Title>The Art of Organic Forms</b:Title>
    <b:Year>1968</b:Year>
    <b:City>Washington, DC</b:City>
    <b:Publisher>Smithsonian</b:Publisher>
    <b:Medium>Print</b:Medium>
    <b:RefOrder>6</b:RefOrder>
  </b:Source>
  <b:Source>
    <b:Tag>Wün97</b:Tag>
    <b:SourceType>Misc</b:SourceType>
    <b:Guid>{1023B7CB-8394-4376-B5D3-3CDBC32845BC}</b:Guid>
    <b:LCID>0</b:LCID>
    <b:Author>
      <b:Author>
        <b:NameList>
          <b:Person>
            <b:Last>Wünsche</b:Last>
            <b:First>Isabel</b:First>
          </b:Person>
        </b:NameList>
      </b:Author>
    </b:Author>
    <b:Title>Das Kunstkonzept der Organischen Kultur inder Kunst der russichen Avantgarde</b:Title>
    <b:Year>1997</b:Year>
    <b:Publisher>Heidelberg University</b:Publisher>
    <b:Medium>Print</b:Medium>
    <b:RefOrder>7</b:RefOrder>
  </b:Source>
  <b:Source>
    <b:Tag>Wün15</b:Tag>
    <b:SourceType>Book</b:SourceType>
    <b:Guid>{D93A305E-00B7-4F7A-8D45-18DC0515F45E}</b:Guid>
    <b:LCID>0</b:LCID>
    <b:Author>
      <b:Author>
        <b:NameList>
          <b:Person>
            <b:Last>Wünsche</b:Last>
            <b:First>Isabel</b:First>
          </b:Person>
        </b:NameList>
      </b:Author>
    </b:Author>
    <b:Title>The Organic School of the Russian Avant-Garde</b:Title>
    <b:Medium>Print</b:Medium>
    <b:Year>2015</b:Year>
    <b:City>Farnham, UK</b:City>
    <b:Publisher>Ashgate</b:Publisher>
    <b:RefOrder>8</b:RefOrder>
  </b:Source>
</b:Sources>
</file>

<file path=customXml/itemProps1.xml><?xml version="1.0" encoding="utf-8"?>
<ds:datastoreItem xmlns:ds="http://schemas.openxmlformats.org/officeDocument/2006/customXml" ds:itemID="{6A56482D-A82F-44EE-8F21-C717ACF9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Zaqir</cp:lastModifiedBy>
  <cp:revision>1</cp:revision>
  <dcterms:created xsi:type="dcterms:W3CDTF">2014-07-06T22:48:00Z</dcterms:created>
  <dcterms:modified xsi:type="dcterms:W3CDTF">2014-07-06T23:00:00Z</dcterms:modified>
</cp:coreProperties>
</file>